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DAFE6B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17050">
        <w:rPr>
          <w:b/>
          <w:sz w:val="20"/>
          <w:szCs w:val="20"/>
          <w:lang w:val="en-US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17050">
        <w:rPr>
          <w:b/>
          <w:sz w:val="20"/>
          <w:szCs w:val="20"/>
          <w:lang w:val="en-US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3EAC7608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2A2BF7" w:rsidRPr="002A2BF7">
        <w:rPr>
          <w:b/>
          <w:sz w:val="20"/>
          <w:szCs w:val="20"/>
          <w:lang w:val="kk-KZ"/>
        </w:rPr>
        <w:t>6В11401-Әлеуметтік жұмыс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2A2BF7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FEE428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04F54CB9" w:rsidR="00E55C26" w:rsidRPr="00AC0EFC" w:rsidRDefault="0043016B" w:rsidP="002A2BF7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A1686">
              <w:rPr>
                <w:b/>
                <w:sz w:val="20"/>
                <w:szCs w:val="20"/>
                <w:lang w:val="kk-KZ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A2BF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B1649" w14:textId="77777777" w:rsidR="007D2B0F" w:rsidRPr="007D2B0F" w:rsidRDefault="007D2B0F" w:rsidP="007D2B0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1F1F1F"/>
                <w:sz w:val="20"/>
                <w:szCs w:val="20"/>
                <w:lang w:val="en-US"/>
              </w:rPr>
            </w:pPr>
            <w:r w:rsidRPr="007D2B0F">
              <w:rPr>
                <w:rFonts w:ascii="inherit" w:hAnsi="inherit" w:cs="Courier New"/>
                <w:color w:val="1F1F1F"/>
                <w:sz w:val="20"/>
                <w:szCs w:val="20"/>
                <w:lang w:val="kk-KZ"/>
              </w:rPr>
              <w:t>Үкіметтік емес ұйымдардың құрылымдық өлшемі</w:t>
            </w:r>
          </w:p>
          <w:p w14:paraId="5604C44C" w14:textId="36D17F3D" w:rsidR="002A2BF7" w:rsidRPr="003F2DC5" w:rsidRDefault="002A2BF7" w:rsidP="002A2BF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B0B1E54" w:rsidR="002A2BF7" w:rsidRPr="003F2DC5" w:rsidRDefault="00F84019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5D80B50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C37015B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53C05A7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AB1D2C6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38D66" w:rsidR="002A2BF7" w:rsidRPr="002A2BF7" w:rsidRDefault="002A2BF7" w:rsidP="002A2BF7">
            <w:pPr>
              <w:rPr>
                <w:sz w:val="20"/>
                <w:szCs w:val="20"/>
              </w:rPr>
            </w:pPr>
            <w:r w:rsidRPr="002A2BF7">
              <w:rPr>
                <w:sz w:val="20"/>
                <w:szCs w:val="20"/>
              </w:rPr>
              <w:t>7</w:t>
            </w:r>
          </w:p>
          <w:p w14:paraId="5604C452" w14:textId="27DB528B" w:rsidR="002A2BF7" w:rsidRPr="002A2BF7" w:rsidRDefault="002A2BF7" w:rsidP="002A2BF7">
            <w:pPr>
              <w:rPr>
                <w:sz w:val="20"/>
                <w:szCs w:val="20"/>
              </w:rPr>
            </w:pPr>
          </w:p>
        </w:tc>
      </w:tr>
      <w:tr w:rsidR="002A2BF7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A2BF7" w:rsidRPr="0043016B" w:rsidRDefault="002A2BF7" w:rsidP="002A2B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A2BF7" w:rsidRPr="007D3B4F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A2BF7" w:rsidRPr="008131FF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A2BF7" w:rsidRPr="00953962" w:rsidRDefault="002A2BF7" w:rsidP="002A2B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A2BF7" w:rsidRPr="002A2BF7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58EBF93" w:rsidR="002A2BF7" w:rsidRPr="002A2BF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2A2BF7">
              <w:rPr>
                <w:color w:val="000000"/>
                <w:sz w:val="22"/>
                <w:szCs w:val="22"/>
                <w:lang w:val="kk-KZ"/>
              </w:rPr>
              <w:t>Оффлайн</w:t>
            </w:r>
          </w:p>
          <w:p w14:paraId="5604C45C" w14:textId="7B41DDE1" w:rsidR="002A2BF7" w:rsidRPr="008F66D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32BC2A" w:rsidR="002A2BF7" w:rsidRPr="004B0BAA" w:rsidRDefault="00F84019" w:rsidP="002A2B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Бейіндеуші</w:t>
            </w:r>
            <w:r w:rsidR="004B0BAA" w:rsidRPr="004B0BAA">
              <w:rPr>
                <w:sz w:val="20"/>
                <w:szCs w:val="20"/>
                <w:lang w:val="kk-KZ"/>
              </w:rPr>
              <w:t xml:space="preserve"> пәндер, таңдау бойынша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5F8C2" w14:textId="43B1C868" w:rsidR="00F84019" w:rsidRPr="00D51A99" w:rsidRDefault="00F84019" w:rsidP="00F840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2A2BF7" w:rsidRPr="0095223E">
              <w:rPr>
                <w:sz w:val="20"/>
                <w:szCs w:val="20"/>
                <w:lang w:val="kk-KZ"/>
              </w:rPr>
              <w:t>әжірибелік</w:t>
            </w:r>
            <w:r w:rsidR="002A2BF7" w:rsidRPr="00D51A99">
              <w:rPr>
                <w:sz w:val="20"/>
                <w:szCs w:val="20"/>
                <w:lang w:val="kk-KZ"/>
              </w:rPr>
              <w:t>-ба</w:t>
            </w:r>
            <w:r w:rsidR="002A2BF7" w:rsidRPr="0095223E">
              <w:rPr>
                <w:sz w:val="20"/>
                <w:szCs w:val="20"/>
                <w:lang w:val="kk-KZ"/>
              </w:rPr>
              <w:t>ғ</w:t>
            </w:r>
            <w:r w:rsidR="002A2BF7" w:rsidRPr="00D51A99">
              <w:rPr>
                <w:sz w:val="20"/>
                <w:szCs w:val="20"/>
                <w:lang w:val="kk-KZ"/>
              </w:rPr>
              <w:t>ытталған</w:t>
            </w:r>
          </w:p>
          <w:p w14:paraId="5604C45E" w14:textId="0625EE88" w:rsidR="002A2BF7" w:rsidRPr="008F66D7" w:rsidRDefault="002A2BF7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D51A9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E53542" w14:textId="77777777" w:rsidR="002A2BF7" w:rsidRPr="0095223E" w:rsidRDefault="002A2BF7" w:rsidP="002A2B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5223E">
              <w:rPr>
                <w:sz w:val="20"/>
                <w:szCs w:val="20"/>
                <w:lang w:val="kk-KZ"/>
              </w:rPr>
              <w:t>Семинардың аралас формасы</w:t>
            </w:r>
          </w:p>
          <w:p w14:paraId="5604C45F" w14:textId="706713CE" w:rsidR="002A2BF7" w:rsidRPr="008F66D7" w:rsidRDefault="002A2BF7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95223E">
              <w:rPr>
                <w:sz w:val="20"/>
                <w:szCs w:val="20"/>
              </w:rPr>
              <w:t>(</w:t>
            </w:r>
            <w:r w:rsidRPr="0095223E">
              <w:rPr>
                <w:sz w:val="20"/>
                <w:szCs w:val="20"/>
                <w:lang w:val="kk-KZ"/>
              </w:rPr>
              <w:t>талдаулық жұмыстар</w:t>
            </w:r>
            <w:r w:rsidRPr="0095223E">
              <w:rPr>
                <w:sz w:val="20"/>
                <w:szCs w:val="20"/>
              </w:rPr>
              <w:t xml:space="preserve">, </w:t>
            </w:r>
            <w:r w:rsidRPr="0095223E">
              <w:rPr>
                <w:sz w:val="20"/>
                <w:szCs w:val="20"/>
                <w:lang w:val="kk-KZ"/>
              </w:rPr>
              <w:t>жобалар</w:t>
            </w:r>
            <w:r w:rsidRPr="0095223E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DDD272A" w:rsidR="002A2BF7" w:rsidRPr="008F66D7" w:rsidRDefault="002A2BF7" w:rsidP="002A2BF7">
            <w:pPr>
              <w:jc w:val="center"/>
              <w:rPr>
                <w:sz w:val="16"/>
                <w:szCs w:val="16"/>
                <w:lang w:val="kk-KZ"/>
              </w:rPr>
            </w:pPr>
            <w:r w:rsidRPr="006670E8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2A2BF7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2A2BF7" w:rsidRPr="003F2DC5" w:rsidRDefault="002A2BF7" w:rsidP="002A2B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A463E77" w:rsidR="002A2BF7" w:rsidRPr="003F2DC5" w:rsidRDefault="00617050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Мамытканов Д.К</w:t>
            </w:r>
            <w:r w:rsidR="002A2BF7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</w:p>
        </w:tc>
      </w:tr>
      <w:tr w:rsidR="002A2BF7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BA0E06" w:rsidR="002A2BF7" w:rsidRPr="003F2DC5" w:rsidRDefault="00617050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Darchan777</w:t>
            </w:r>
            <w:r w:rsidR="002A2BF7" w:rsidRPr="007A0ED6">
              <w:rPr>
                <w:sz w:val="20"/>
                <w:szCs w:val="20"/>
              </w:rPr>
              <w:t>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7C04D8E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+77273773333 (вн. 1762)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2A2BF7" w:rsidRPr="003F2DC5" w:rsidRDefault="002A2BF7" w:rsidP="002A2B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76C19C1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24BA6F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1110C72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B79CAC2" w:rsidR="002A2BF7" w:rsidRPr="00D73188" w:rsidRDefault="002A2BF7" w:rsidP="005A44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22278" w:rsidRPr="007B696B" w14:paraId="517E5341" w14:textId="77777777" w:rsidTr="005A44F4">
        <w:trPr>
          <w:trHeight w:val="546"/>
        </w:trPr>
        <w:tc>
          <w:tcPr>
            <w:tcW w:w="2411" w:type="dxa"/>
            <w:vMerge w:val="restart"/>
            <w:shd w:val="clear" w:color="auto" w:fill="auto"/>
          </w:tcPr>
          <w:p w14:paraId="53DE6BE6" w14:textId="7B05E817" w:rsidR="00222278" w:rsidRPr="003F2DC5" w:rsidRDefault="00222278" w:rsidP="002A2BF7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 w:rsidR="003C5F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7D2B0F">
              <w:t>Студенттерге үкіметтік емес ұйымдардың (ҮЕҰ) әлеуметтік құрылымдағы орны, қызметі мен маңызы туралы кешенді білім беру, олардың құрылымдық өлшемдерін (формалды және бейформалды құрылымдар, желілік байланыстар, институционалдық тетіктер) талдауды үйрету.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222278" w:rsidRPr="00A139C0" w:rsidRDefault="00222278" w:rsidP="002A2B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222278" w:rsidRPr="005A44F4" w:rsidRDefault="00222278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5A44F4">
              <w:rPr>
                <w:sz w:val="20"/>
                <w:szCs w:val="20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59AA7CBB" w:rsidR="00222278" w:rsidRPr="00A139C0" w:rsidRDefault="00222278" w:rsidP="002A2BF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222278" w:rsidRDefault="00222278" w:rsidP="002A2BF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41E3239" w:rsidR="00222278" w:rsidRPr="006D6F87" w:rsidRDefault="00222278" w:rsidP="002A2BF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bookmarkStart w:id="0" w:name="_GoBack"/>
        <w:bookmarkEnd w:id="0"/>
      </w:tr>
      <w:tr w:rsidR="00D15475" w:rsidRPr="007D3B4F" w14:paraId="0EDC5837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764CCBDD" w14:textId="378B6716" w:rsidR="00D15475" w:rsidRPr="008F66D7" w:rsidRDefault="00D15475" w:rsidP="00D1547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67FDD0D" w:rsidR="00D15475" w:rsidRPr="005C2FF2" w:rsidRDefault="00D15475" w:rsidP="00D15475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1. </w:t>
            </w:r>
            <w:r w:rsidRPr="00D15475">
              <w:rPr>
                <w:lang w:val="kk-KZ"/>
              </w:rPr>
              <w:t>Студенттер ҮЕҰ-дың ұғымын, типологиясын, азаматтық қоғамдағы орнын теориялық тұрғыда түсіндіред</w:t>
            </w:r>
            <w:r w:rsidRPr="003C5F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35B544D" w:rsidR="00D15475" w:rsidRPr="00D15475" w:rsidRDefault="00D15475" w:rsidP="00D15475">
            <w:pPr>
              <w:jc w:val="both"/>
              <w:rPr>
                <w:color w:val="FF0000"/>
                <w:lang w:val="kk-KZ"/>
              </w:rPr>
            </w:pPr>
            <w:r w:rsidRPr="00D15475">
              <w:rPr>
                <w:lang w:val="kk-KZ"/>
              </w:rPr>
              <w:t>ҮЕҰ-дың анықтамаларын, ерекшеліктерін дұрыс ажырата алады.</w:t>
            </w:r>
          </w:p>
        </w:tc>
      </w:tr>
      <w:tr w:rsidR="00D15475" w:rsidRPr="007D3B4F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15475" w:rsidRPr="008F66D7" w:rsidRDefault="00D15475" w:rsidP="00D1547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15475" w:rsidRPr="005C2FF2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39E077A9" w:rsidR="00D15475" w:rsidRPr="00D15475" w:rsidRDefault="00D15475" w:rsidP="00D15475">
            <w:pPr>
              <w:jc w:val="both"/>
              <w:rPr>
                <w:lang w:val="kk-KZ"/>
              </w:rPr>
            </w:pPr>
            <w:r w:rsidRPr="00D15475">
              <w:rPr>
                <w:lang w:val="kk-KZ"/>
              </w:rPr>
              <w:t>Азаматтық қоғамдағы ҮЕҰ рөлін теориялық концепциялар арқылы түсіндіре алады.</w:t>
            </w:r>
          </w:p>
        </w:tc>
      </w:tr>
      <w:tr w:rsidR="00D15475" w:rsidRPr="007D3B4F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15475" w:rsidRPr="005C2FF2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3379AEA9" w:rsidR="00D15475" w:rsidRPr="005C2FF2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2. </w:t>
            </w:r>
            <w:r w:rsidRPr="00D15475">
              <w:rPr>
                <w:lang w:val="kk-KZ"/>
              </w:rPr>
              <w:t>ҮЕҰ құрылымдық өлшемдерін (формалды, бейформалды, желілік) талдай алады және нақты мысалдар келтіре алады</w:t>
            </w:r>
            <w:r w:rsidRPr="003C5F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9D916A" w:rsidR="00D15475" w:rsidRPr="00D15475" w:rsidRDefault="00D15475" w:rsidP="00D15475">
            <w:pPr>
              <w:pStyle w:val="aff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15475">
              <w:rPr>
                <w:rFonts w:ascii="Times New Roman" w:hAnsi="Times New Roman"/>
                <w:sz w:val="24"/>
                <w:szCs w:val="24"/>
                <w:lang w:val="kk-KZ"/>
              </w:rPr>
              <w:t>ҮЕҰ ішкі құрылымын кесте/сызба арқылы сипаттап береді.</w:t>
            </w:r>
          </w:p>
        </w:tc>
      </w:tr>
      <w:tr w:rsidR="00D15475" w:rsidRPr="007D3B4F" w14:paraId="6FD9613F" w14:textId="77777777" w:rsidTr="00A478EE">
        <w:trPr>
          <w:trHeight w:val="498"/>
        </w:trPr>
        <w:tc>
          <w:tcPr>
            <w:tcW w:w="2411" w:type="dxa"/>
            <w:vMerge/>
          </w:tcPr>
          <w:p w14:paraId="0A8BC178" w14:textId="77777777" w:rsidR="00D15475" w:rsidRPr="005C2FF2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15475" w:rsidRPr="005C2FF2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A52EEBC" w:rsidR="00D15475" w:rsidRPr="00D15475" w:rsidRDefault="00D15475" w:rsidP="00D1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15475">
              <w:rPr>
                <w:lang w:val="kk-KZ"/>
              </w:rPr>
              <w:t>Нақты ҮЕҰ қызметін құрылымдық өлшем тұрғысынан талдай алады</w:t>
            </w:r>
          </w:p>
        </w:tc>
      </w:tr>
      <w:tr w:rsidR="00D15475" w:rsidRPr="007D3B4F" w14:paraId="3950734B" w14:textId="77777777" w:rsidTr="00A478EE">
        <w:trPr>
          <w:trHeight w:val="294"/>
        </w:trPr>
        <w:tc>
          <w:tcPr>
            <w:tcW w:w="2411" w:type="dxa"/>
            <w:vMerge/>
          </w:tcPr>
          <w:p w14:paraId="7A6DE0DD" w14:textId="77777777" w:rsidR="00D15475" w:rsidRPr="005C2FF2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F4D9104" w:rsidR="00D15475" w:rsidRPr="005C2FF2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3. </w:t>
            </w:r>
            <w:r w:rsidRPr="00D15475">
              <w:rPr>
                <w:lang w:val="kk-KZ"/>
              </w:rPr>
              <w:t>Мемлекет, бизнес және ҮЕҰ арасындағы қарым-қатынас модельдерін сипаттап, олардың қоғамдағы маңызын бағалай алады.</w:t>
            </w:r>
            <w:r w:rsidRPr="003C5F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55C38F07" w:rsidR="00D15475" w:rsidRPr="00D15475" w:rsidRDefault="00D15475" w:rsidP="00D1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15475">
              <w:rPr>
                <w:lang w:val="kk-KZ"/>
              </w:rPr>
              <w:t>ҮЕҰ мен мемлекеттік органдар арасындағы ынтымақтастық үлгілерін талдайды.</w:t>
            </w:r>
          </w:p>
        </w:tc>
      </w:tr>
      <w:tr w:rsidR="00D15475" w:rsidRPr="007D3B4F" w14:paraId="3F845DEF" w14:textId="77777777" w:rsidTr="04599562">
        <w:trPr>
          <w:trHeight w:val="84"/>
        </w:trPr>
        <w:tc>
          <w:tcPr>
            <w:tcW w:w="2411" w:type="dxa"/>
            <w:vMerge/>
          </w:tcPr>
          <w:p w14:paraId="768A1E63" w14:textId="77777777" w:rsidR="00D15475" w:rsidRPr="005C2FF2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BBCA8B0" w14:textId="77777777" w:rsidR="00D15475" w:rsidRPr="005C2FF2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FA030FD" w14:textId="5902A6BD" w:rsidR="00D15475" w:rsidRPr="00D15475" w:rsidRDefault="00D15475" w:rsidP="00D1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15475">
              <w:rPr>
                <w:lang w:val="kk-KZ"/>
              </w:rPr>
              <w:t>Бизнес пен ҮЕҰ серіктестігін мысалдармен дәлелдей алады.</w:t>
            </w:r>
          </w:p>
        </w:tc>
      </w:tr>
      <w:tr w:rsidR="00D15475" w:rsidRPr="007D3B4F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15475" w:rsidRPr="005C2FF2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2D0D570A" w:rsidR="00D15475" w:rsidRPr="00E70249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4. </w:t>
            </w:r>
            <w:r w:rsidRPr="00D15475">
              <w:rPr>
                <w:lang w:val="kk-KZ"/>
              </w:rPr>
              <w:t>ҮЕҰ қызметін бағалау әдістерін (тиімділік көрсеткіштері, әлеуметтік әсерді өлшеу) қолдана алады</w:t>
            </w:r>
            <w:r w:rsidRPr="003C5F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290686A" w:rsidR="00D15475" w:rsidRPr="00D15475" w:rsidRDefault="00D15475" w:rsidP="00D15475">
            <w:pPr>
              <w:jc w:val="both"/>
              <w:rPr>
                <w:lang w:val="kk-KZ"/>
              </w:rPr>
            </w:pPr>
            <w:r w:rsidRPr="00D15475">
              <w:rPr>
                <w:lang w:val="kk-KZ"/>
              </w:rPr>
              <w:t>ҮЕҰ-дың тиімділігін бағалау үшін ғылыми әдістерді пайдаланады.</w:t>
            </w:r>
          </w:p>
        </w:tc>
      </w:tr>
      <w:tr w:rsidR="00D15475" w:rsidRPr="007D3B4F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15475" w:rsidRPr="00E70249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15475" w:rsidRPr="00E70249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003DEBEC" w:rsidR="00D15475" w:rsidRPr="00D15475" w:rsidRDefault="00D15475" w:rsidP="00D15475">
            <w:pPr>
              <w:jc w:val="both"/>
              <w:rPr>
                <w:lang w:val="kk-KZ"/>
              </w:rPr>
            </w:pPr>
            <w:r w:rsidRPr="00D15475">
              <w:rPr>
                <w:lang w:val="kk-KZ"/>
              </w:rPr>
              <w:t>Қызмет нәтижелерін салыстырмалы түрде талдап, қорытынды шығарады.</w:t>
            </w:r>
          </w:p>
        </w:tc>
      </w:tr>
      <w:tr w:rsidR="00D15475" w:rsidRPr="007D3B4F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15475" w:rsidRPr="00E70249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18C9BFD" w14:textId="14C465DA" w:rsidR="00D15475" w:rsidRPr="00E70249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 w:eastAsia="ar-SA"/>
              </w:rPr>
              <w:t xml:space="preserve">5. </w:t>
            </w:r>
            <w:r w:rsidRPr="00D15475">
              <w:rPr>
                <w:lang w:val="kk-KZ"/>
              </w:rPr>
              <w:t>Қазақстан және халықаралық ҮЕҰ тәжірибесін салыстыра отырып, өз бетінше шағын зерттеу жобаларын әзірлейді және қорғайды.</w:t>
            </w:r>
            <w:r w:rsidRPr="006F5926">
              <w:rPr>
                <w:sz w:val="20"/>
                <w:szCs w:val="20"/>
                <w:lang w:val="kk-KZ" w:eastAsia="ar-SA"/>
              </w:rPr>
              <w:t>.</w:t>
            </w:r>
          </w:p>
          <w:p w14:paraId="1B130507" w14:textId="73EA350C" w:rsidR="00D15475" w:rsidRPr="00E70249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0E9823D5" w:rsidR="00D15475" w:rsidRPr="00D15475" w:rsidRDefault="00D15475" w:rsidP="00D15475">
            <w:pPr>
              <w:jc w:val="both"/>
              <w:rPr>
                <w:lang w:val="kk-KZ"/>
              </w:rPr>
            </w:pPr>
            <w:r w:rsidRPr="00D15475">
              <w:rPr>
                <w:lang w:val="kk-KZ"/>
              </w:rPr>
              <w:t>Халықаралық және ұлттық ҮЕҰ тәжірибесін салыстырмалы талдайды.</w:t>
            </w:r>
          </w:p>
        </w:tc>
      </w:tr>
      <w:tr w:rsidR="00D15475" w:rsidRPr="007D3B4F" w14:paraId="41006963" w14:textId="77777777" w:rsidTr="006F5926">
        <w:trPr>
          <w:trHeight w:val="343"/>
        </w:trPr>
        <w:tc>
          <w:tcPr>
            <w:tcW w:w="2411" w:type="dxa"/>
            <w:vMerge/>
          </w:tcPr>
          <w:p w14:paraId="57D91EB9" w14:textId="77777777" w:rsidR="00D15475" w:rsidRPr="00757E00" w:rsidRDefault="00D15475" w:rsidP="00D15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3ED4C14" w:rsidR="00D15475" w:rsidRPr="00757E00" w:rsidRDefault="00D15475" w:rsidP="00D1547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7DA363F0" w:rsidR="00D15475" w:rsidRPr="00D15475" w:rsidRDefault="00D15475" w:rsidP="00D15475">
            <w:pPr>
              <w:jc w:val="both"/>
              <w:rPr>
                <w:lang w:val="kk-KZ"/>
              </w:rPr>
            </w:pPr>
            <w:r w:rsidRPr="00D15475">
              <w:rPr>
                <w:lang w:val="kk-KZ"/>
              </w:rPr>
              <w:t>Топтық немесе жеке зерттеу жобасын дайындап, презентация жасайды</w:t>
            </w:r>
          </w:p>
        </w:tc>
      </w:tr>
      <w:tr w:rsidR="00E53686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E53686" w:rsidRPr="003F2DC5" w:rsidRDefault="00E53686" w:rsidP="00E5368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A1D6F" w14:textId="77777777" w:rsidR="007D2B0F" w:rsidRPr="007D2B0F" w:rsidRDefault="007D2B0F" w:rsidP="007D2B0F">
            <w:pPr>
              <w:rPr>
                <w:bCs/>
                <w:sz w:val="20"/>
                <w:szCs w:val="20"/>
              </w:rPr>
            </w:pPr>
            <w:r w:rsidRPr="007D2B0F">
              <w:rPr>
                <w:bCs/>
                <w:sz w:val="20"/>
                <w:szCs w:val="20"/>
              </w:rPr>
              <w:t>Мемлекеттік басқару теориясы</w:t>
            </w:r>
          </w:p>
          <w:p w14:paraId="1B51A2E3" w14:textId="77E9BB01" w:rsidR="00AF3157" w:rsidRPr="00AF3157" w:rsidRDefault="007D2B0F" w:rsidP="007D2B0F">
            <w:pPr>
              <w:rPr>
                <w:bCs/>
                <w:sz w:val="20"/>
                <w:szCs w:val="20"/>
              </w:rPr>
            </w:pPr>
            <w:r w:rsidRPr="007D2B0F">
              <w:rPr>
                <w:bCs/>
                <w:sz w:val="20"/>
                <w:szCs w:val="20"/>
              </w:rPr>
              <w:t>Қоғамдық ұйымдар социологиясы</w:t>
            </w:r>
          </w:p>
        </w:tc>
      </w:tr>
      <w:tr w:rsidR="00E53686" w:rsidRPr="00F8401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E53686" w:rsidRPr="008F66D7" w:rsidRDefault="00E53686" w:rsidP="00E5368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C4BFD4" w14:textId="77777777" w:rsidR="007D2B0F" w:rsidRPr="007D2B0F" w:rsidRDefault="007D2B0F" w:rsidP="007D2B0F">
            <w:pPr>
              <w:rPr>
                <w:bCs/>
                <w:color w:val="000000"/>
                <w:sz w:val="20"/>
                <w:szCs w:val="20"/>
              </w:rPr>
            </w:pPr>
            <w:r w:rsidRPr="007D2B0F">
              <w:rPr>
                <w:bCs/>
                <w:color w:val="000000"/>
                <w:sz w:val="20"/>
                <w:szCs w:val="20"/>
              </w:rPr>
              <w:t>Қоғамдық саясат</w:t>
            </w:r>
          </w:p>
          <w:p w14:paraId="526371CA" w14:textId="34E1DEF4" w:rsidR="00AF3157" w:rsidRPr="00AF3157" w:rsidRDefault="007D2B0F" w:rsidP="007D2B0F">
            <w:pPr>
              <w:rPr>
                <w:bCs/>
                <w:sz w:val="20"/>
                <w:szCs w:val="20"/>
              </w:rPr>
            </w:pPr>
            <w:r w:rsidRPr="007D2B0F">
              <w:rPr>
                <w:bCs/>
                <w:color w:val="000000"/>
                <w:sz w:val="20"/>
                <w:szCs w:val="20"/>
              </w:rPr>
              <w:t>Саяси әлеуметтану</w:t>
            </w:r>
          </w:p>
        </w:tc>
      </w:tr>
      <w:tr w:rsidR="00E53686" w:rsidRPr="00E27618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E53686" w:rsidRPr="008F66D7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3E47D9" w14:textId="77777777" w:rsidR="007D2B0F" w:rsidRDefault="00E53686" w:rsidP="007D2B0F">
            <w:pPr>
              <w:pStyle w:val="aff0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7E379011" w14:textId="0577EFFC" w:rsidR="007D2B0F" w:rsidRDefault="007D2B0F" w:rsidP="007D2B0F">
            <w:pPr>
              <w:pStyle w:val="aff0"/>
              <w:spacing w:before="0" w:beforeAutospacing="0" w:after="0" w:afterAutospacing="0"/>
            </w:pPr>
            <w:r>
              <w:rPr>
                <w:rStyle w:val="aff2"/>
              </w:rPr>
              <w:t>Негізгі:</w:t>
            </w:r>
          </w:p>
          <w:p w14:paraId="349ED663" w14:textId="77777777" w:rsidR="007D2B0F" w:rsidRDefault="007D2B0F" w:rsidP="007D2B0F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/>
            </w:pPr>
            <w:r w:rsidRPr="007D2B0F">
              <w:rPr>
                <w:lang w:val="en-US"/>
              </w:rPr>
              <w:t xml:space="preserve">Salamon, L.M., Anheier, H.K. </w:t>
            </w:r>
            <w:r w:rsidRPr="007D2B0F">
              <w:rPr>
                <w:rStyle w:val="aff3"/>
                <w:lang w:val="en-US"/>
              </w:rPr>
              <w:t>The Emerging Nonprofit Sector</w:t>
            </w:r>
            <w:r w:rsidRPr="007D2B0F">
              <w:rPr>
                <w:lang w:val="en-US"/>
              </w:rPr>
              <w:t xml:space="preserve">. – Manchester Univ. </w:t>
            </w:r>
            <w:r>
              <w:t>Press, 1996.</w:t>
            </w:r>
          </w:p>
          <w:p w14:paraId="4C935155" w14:textId="77777777" w:rsidR="007D2B0F" w:rsidRDefault="007D2B0F" w:rsidP="007D2B0F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/>
            </w:pPr>
            <w:r w:rsidRPr="007D2B0F">
              <w:rPr>
                <w:lang w:val="en-US"/>
              </w:rPr>
              <w:t xml:space="preserve">Najam, A. </w:t>
            </w:r>
            <w:r w:rsidRPr="007D2B0F">
              <w:rPr>
                <w:rStyle w:val="aff3"/>
                <w:lang w:val="en-US"/>
              </w:rPr>
              <w:t>The Four-C's of Third Sector–Government Relations</w:t>
            </w:r>
            <w:r w:rsidRPr="007D2B0F">
              <w:rPr>
                <w:lang w:val="en-US"/>
              </w:rPr>
              <w:t xml:space="preserve">. </w:t>
            </w:r>
            <w:r>
              <w:t>Nonprofit Management &amp; Leadership, 1999.</w:t>
            </w:r>
          </w:p>
          <w:p w14:paraId="4AA3FAA7" w14:textId="77777777" w:rsidR="007D2B0F" w:rsidRDefault="007D2B0F" w:rsidP="007D2B0F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/>
            </w:pPr>
            <w:r>
              <w:t xml:space="preserve">Фатхутдинов Р.А. </w:t>
            </w:r>
            <w:r>
              <w:rPr>
                <w:rStyle w:val="aff3"/>
              </w:rPr>
              <w:t>Социология некоммерческих организаций</w:t>
            </w:r>
            <w:r>
              <w:t>. – М., 2014.</w:t>
            </w:r>
          </w:p>
          <w:p w14:paraId="0FD3AB2B" w14:textId="77777777" w:rsidR="007D2B0F" w:rsidRDefault="007D2B0F" w:rsidP="007D2B0F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/>
            </w:pPr>
            <w:r>
              <w:t>ҚР «Үкіметтік емес ұйымдар туралы» Заңы</w:t>
            </w:r>
          </w:p>
          <w:p w14:paraId="465A4393" w14:textId="77777777" w:rsidR="007D2B0F" w:rsidRDefault="007D2B0F" w:rsidP="007D2B0F">
            <w:pPr>
              <w:pStyle w:val="aff0"/>
              <w:spacing w:before="0" w:beforeAutospacing="0" w:after="0" w:afterAutospacing="0"/>
            </w:pPr>
            <w:r>
              <w:rPr>
                <w:rStyle w:val="aff2"/>
              </w:rPr>
              <w:t>Қосымша:</w:t>
            </w:r>
          </w:p>
          <w:p w14:paraId="0FDF25AA" w14:textId="77777777" w:rsidR="007D2B0F" w:rsidRPr="007D2B0F" w:rsidRDefault="007D2B0F" w:rsidP="007D2B0F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lang w:val="en-US"/>
              </w:rPr>
            </w:pPr>
            <w:r w:rsidRPr="007D2B0F">
              <w:rPr>
                <w:lang w:val="en-US"/>
              </w:rPr>
              <w:t xml:space="preserve">Edwards M. </w:t>
            </w:r>
            <w:r w:rsidRPr="007D2B0F">
              <w:rPr>
                <w:rStyle w:val="aff3"/>
                <w:lang w:val="en-US"/>
              </w:rPr>
              <w:t>Civil Society</w:t>
            </w:r>
            <w:r w:rsidRPr="007D2B0F">
              <w:rPr>
                <w:lang w:val="en-US"/>
              </w:rPr>
              <w:t>. – Polity Press, 2011.</w:t>
            </w:r>
          </w:p>
          <w:p w14:paraId="7EB49444" w14:textId="77777777" w:rsidR="007D2B0F" w:rsidRPr="007D2B0F" w:rsidRDefault="007D2B0F" w:rsidP="007D2B0F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lang w:val="en-US"/>
              </w:rPr>
            </w:pPr>
            <w:r w:rsidRPr="007D2B0F">
              <w:rPr>
                <w:lang w:val="en-US"/>
              </w:rPr>
              <w:t xml:space="preserve">Putnam R. </w:t>
            </w:r>
            <w:r w:rsidRPr="007D2B0F">
              <w:rPr>
                <w:rStyle w:val="aff3"/>
                <w:lang w:val="en-US"/>
              </w:rPr>
              <w:t>Making Democracy Work</w:t>
            </w:r>
            <w:r w:rsidRPr="007D2B0F">
              <w:rPr>
                <w:lang w:val="en-US"/>
              </w:rPr>
              <w:t>. – Princeton University Press, 1993.</w:t>
            </w:r>
          </w:p>
          <w:p w14:paraId="70A8E6AB" w14:textId="77777777" w:rsidR="007D2B0F" w:rsidRPr="007D2B0F" w:rsidRDefault="007D2B0F" w:rsidP="007D2B0F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/>
              <w:rPr>
                <w:lang w:val="en-US"/>
              </w:rPr>
            </w:pPr>
            <w:r w:rsidRPr="007D2B0F">
              <w:rPr>
                <w:lang w:val="en-US"/>
              </w:rPr>
              <w:t xml:space="preserve">USAID. </w:t>
            </w:r>
            <w:r w:rsidRPr="007D2B0F">
              <w:rPr>
                <w:rStyle w:val="aff3"/>
                <w:lang w:val="en-US"/>
              </w:rPr>
              <w:t>Civil Society Organization Sustainability Index</w:t>
            </w:r>
            <w:r w:rsidRPr="007D2B0F">
              <w:rPr>
                <w:lang w:val="en-US"/>
              </w:rPr>
              <w:t>.</w:t>
            </w:r>
          </w:p>
          <w:p w14:paraId="6BE47A55" w14:textId="1AA6129A" w:rsidR="00E53686" w:rsidRPr="00407938" w:rsidRDefault="007D2B0F" w:rsidP="007D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7D2B0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E53686"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E53686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E53686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9385536" w14:textId="77777777" w:rsidR="00E53686" w:rsidRPr="00844601" w:rsidRDefault="007D3B4F" w:rsidP="007D2B0F">
            <w:pPr>
              <w:pStyle w:val="afe"/>
              <w:numPr>
                <w:ilvl w:val="0"/>
                <w:numId w:val="12"/>
              </w:numPr>
              <w:ind w:left="0"/>
              <w:rPr>
                <w:color w:val="000000"/>
                <w:sz w:val="20"/>
                <w:szCs w:val="20"/>
                <w:lang w:val="kk-KZ"/>
              </w:rPr>
            </w:pPr>
            <w:hyperlink r:id="rId11" w:history="1">
              <w:r w:rsidR="00E53686" w:rsidRPr="00844601">
                <w:rPr>
                  <w:color w:val="000000"/>
                  <w:sz w:val="20"/>
                  <w:szCs w:val="20"/>
                </w:rPr>
                <w:t>http://elibrary.kaznu.kz/ru</w:t>
              </w:r>
            </w:hyperlink>
            <w:r w:rsidR="00E53686" w:rsidRPr="00844601">
              <w:rPr>
                <w:color w:val="000000"/>
                <w:sz w:val="20"/>
                <w:szCs w:val="20"/>
              </w:rPr>
              <w:t xml:space="preserve"> </w:t>
            </w:r>
          </w:p>
          <w:p w14:paraId="3357331A" w14:textId="77777777" w:rsidR="00E53686" w:rsidRDefault="007D3B4F" w:rsidP="007D2B0F">
            <w:pPr>
              <w:pStyle w:val="afe"/>
              <w:numPr>
                <w:ilvl w:val="0"/>
                <w:numId w:val="12"/>
              </w:numPr>
              <w:ind w:left="0"/>
              <w:rPr>
                <w:color w:val="000000"/>
                <w:sz w:val="20"/>
                <w:szCs w:val="20"/>
                <w:lang w:val="kk-KZ"/>
              </w:rPr>
            </w:pPr>
            <w:hyperlink r:id="rId12" w:history="1">
              <w:r w:rsidR="00E53686" w:rsidRPr="00A64B04">
                <w:rPr>
                  <w:rStyle w:val="af9"/>
                  <w:sz w:val="20"/>
                  <w:szCs w:val="20"/>
                  <w:lang w:val="kk-KZ"/>
                </w:rPr>
                <w:t>https://www.socialworkers.org</w:t>
              </w:r>
            </w:hyperlink>
          </w:p>
          <w:p w14:paraId="504FA78A" w14:textId="5D161602" w:rsidR="00E53686" w:rsidRPr="00E53686" w:rsidRDefault="00E53686" w:rsidP="007D2B0F">
            <w:pPr>
              <w:pStyle w:val="afe"/>
              <w:numPr>
                <w:ilvl w:val="0"/>
                <w:numId w:val="12"/>
              </w:numPr>
              <w:ind w:left="0"/>
              <w:rPr>
                <w:color w:val="000000"/>
                <w:sz w:val="20"/>
                <w:szCs w:val="20"/>
                <w:lang w:val="kk-KZ"/>
              </w:rPr>
            </w:pPr>
            <w:r w:rsidRPr="00E53686">
              <w:rPr>
                <w:color w:val="000000"/>
                <w:sz w:val="20"/>
                <w:szCs w:val="20"/>
                <w:lang w:val="kk-KZ"/>
              </w:rPr>
              <w:t>https://adilet.zan.kz/rus</w:t>
            </w:r>
          </w:p>
          <w:p w14:paraId="56112C75" w14:textId="447F8E2C" w:rsidR="00E53686" w:rsidRPr="00407938" w:rsidRDefault="00E53686" w:rsidP="007D2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E27618" w:rsidRDefault="00A02A85" w:rsidP="00E276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2D66F2">
        <w:trPr>
          <w:trHeight w:val="111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lastRenderedPageBreak/>
              <w:t xml:space="preserve">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4ED7F94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</w:t>
            </w:r>
            <w:r w:rsidR="00DF4F76">
              <w:rPr>
                <w:sz w:val="20"/>
                <w:szCs w:val="20"/>
                <w:lang w:val="kk-KZ"/>
              </w:rPr>
              <w:t xml:space="preserve">ектеулі жандар, телефон/e-mail </w:t>
            </w:r>
            <w:hyperlink r:id="rId13" w:history="1">
              <w:r w:rsidR="00DF4F76" w:rsidRPr="00A64B04">
                <w:rPr>
                  <w:rStyle w:val="af9"/>
                  <w:sz w:val="20"/>
                  <w:szCs w:val="20"/>
                  <w:lang w:val="kk-KZ"/>
                </w:rPr>
                <w:t>Mustafina.Aigul@kaznu.</w:t>
              </w:r>
              <w:r w:rsidR="00DF4F76" w:rsidRPr="00DF4F76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="00F3672F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D66F2" w:rsidRPr="002A2BF7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2D66F2" w:rsidRPr="000F5866" w:rsidRDefault="002D66F2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CD86331" w:rsidR="002D66F2" w:rsidRPr="000F5866" w:rsidRDefault="002D66F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9D99ED" w:rsidR="002D66F2" w:rsidRPr="004B2BA6" w:rsidRDefault="002D66F2" w:rsidP="00F3672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24622B30" w:rsidR="002D66F2" w:rsidRPr="004B2BA6" w:rsidRDefault="002D66F2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2D66F2" w:rsidRPr="002A2BF7" w14:paraId="1761555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EEAA1" w14:textId="5ADBF898" w:rsidR="002D66F2" w:rsidRPr="002D66F2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6C10B6" w14:textId="604EFF8B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9D102" w14:textId="0D11752C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50643116" w14:textId="7777777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C0065" w14:textId="77777777" w:rsidR="002D66F2" w:rsidRDefault="002D66F2" w:rsidP="00D36E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7EFA4" w14:textId="77777777" w:rsidR="002D66F2" w:rsidRPr="000F5866" w:rsidRDefault="002D66F2" w:rsidP="00F3672F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8E1E9CD" w:rsidR="000E3AA2" w:rsidRPr="00F3672F" w:rsidRDefault="00F3672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F3672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</w:rPr>
              <w:t>2</w:t>
            </w:r>
            <w:r w:rsidR="009C29E7" w:rsidRPr="00F3672F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F3672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32CCC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532DB97" w:rsidR="00332CCC" w:rsidRPr="00C86E8A" w:rsidRDefault="00C86E8A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6E8A">
              <w:rPr>
                <w:b/>
                <w:sz w:val="20"/>
                <w:szCs w:val="20"/>
                <w:lang w:val="kk-KZ"/>
              </w:rPr>
              <w:t>Модель 1 - Кейс-менеджменттің тарихы, мәні және ерекшеліктері</w:t>
            </w:r>
          </w:p>
        </w:tc>
      </w:tr>
      <w:tr w:rsidR="00332CCC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69BE6CE" w:rsidR="00332CCC" w:rsidRPr="003F2DC5" w:rsidRDefault="00332CCC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7D3B4F">
              <w:t>ҮЕҰ социологиялық зерттеу нысаны ретінде: ұғымы, мәні</w:t>
            </w:r>
          </w:p>
        </w:tc>
        <w:tc>
          <w:tcPr>
            <w:tcW w:w="860" w:type="dxa"/>
            <w:shd w:val="clear" w:color="auto" w:fill="auto"/>
          </w:tcPr>
          <w:p w14:paraId="1FC6CB41" w14:textId="0482CDC0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2CCC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6ECF62A2" w:rsidR="00332CCC" w:rsidRPr="008C07FC" w:rsidRDefault="00332CCC" w:rsidP="00332CC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</w:t>
            </w:r>
            <w:r w:rsidR="002D66F2">
              <w:rPr>
                <w:b/>
                <w:sz w:val="20"/>
                <w:szCs w:val="20"/>
              </w:rPr>
              <w:t>.</w:t>
            </w:r>
            <w:r w:rsidR="00117820">
              <w:rPr>
                <w:b/>
                <w:sz w:val="20"/>
                <w:szCs w:val="20"/>
              </w:rPr>
              <w:t xml:space="preserve"> </w:t>
            </w:r>
            <w:r w:rsidR="007D3B4F">
              <w:t>ҮЕҰ ұғымы және негізгі белгілері</w:t>
            </w:r>
            <w:r w:rsidR="00117820"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7BAA4E" w14:textId="256903E8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5CDACE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2CCC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2CDC284D" w:rsidR="00332CCC" w:rsidRPr="003F2DC5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2. </w:t>
            </w:r>
            <w:r w:rsidR="007D3B4F">
              <w:t>Азаматтық қоғам теориялары және ҮЕҰ орны</w:t>
            </w:r>
            <w:r w:rsidR="002E7729" w:rsidRPr="002E772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48C7955A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32CCC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221CEBDB" w:rsidR="00332CCC" w:rsidRPr="003F2DC5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2. </w:t>
            </w:r>
            <w:r w:rsidR="007D3B4F">
              <w:t>Азаматтық қоғам құрылымы: классикалық теориялар</w:t>
            </w:r>
            <w:r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CB823C0" w14:textId="0639F18E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519622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2CCC" w:rsidRPr="002A2BF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F8D48D6" w:rsidR="00332CCC" w:rsidRPr="00F65A34" w:rsidRDefault="009A1686" w:rsidP="00F65A3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332CCC" w:rsidRPr="00697944">
              <w:rPr>
                <w:b/>
                <w:sz w:val="20"/>
                <w:szCs w:val="20"/>
              </w:rPr>
              <w:t xml:space="preserve"> 1. </w:t>
            </w:r>
            <w:r w:rsidR="00117820">
              <w:rPr>
                <w:b/>
                <w:sz w:val="20"/>
                <w:szCs w:val="20"/>
              </w:rPr>
              <w:t>С</w:t>
            </w:r>
            <w:r w:rsidR="00332CCC">
              <w:rPr>
                <w:b/>
                <w:sz w:val="20"/>
                <w:szCs w:val="20"/>
                <w:lang w:val="kk-KZ"/>
              </w:rPr>
              <w:t>Ө</w:t>
            </w:r>
            <w:r w:rsidR="00117820">
              <w:rPr>
                <w:b/>
                <w:sz w:val="20"/>
                <w:szCs w:val="20"/>
                <w:lang w:val="kk-KZ"/>
              </w:rPr>
              <w:t>Ж</w:t>
            </w:r>
            <w:r w:rsidR="00332CCC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2CCC" w:rsidRPr="005C26DF">
              <w:rPr>
                <w:b/>
                <w:bCs/>
                <w:sz w:val="20"/>
                <w:szCs w:val="20"/>
              </w:rPr>
              <w:t>1</w:t>
            </w:r>
            <w:r w:rsidR="00332CC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32CCC" w:rsidRPr="00F52A9F">
              <w:rPr>
                <w:sz w:val="20"/>
                <w:szCs w:val="20"/>
                <w:lang w:val="kk-KZ"/>
              </w:rPr>
              <w:t>орындау бойынша</w:t>
            </w:r>
            <w:r w:rsidR="00332CCC" w:rsidRPr="00F52A9F">
              <w:rPr>
                <w:sz w:val="20"/>
                <w:szCs w:val="20"/>
              </w:rPr>
              <w:t xml:space="preserve"> </w:t>
            </w:r>
            <w:r w:rsidR="00332CCC" w:rsidRPr="00F52A9F">
              <w:rPr>
                <w:sz w:val="20"/>
                <w:szCs w:val="20"/>
                <w:lang w:val="kk-KZ"/>
              </w:rPr>
              <w:t>кеңестер</w:t>
            </w:r>
            <w:r w:rsidR="00117820">
              <w:rPr>
                <w:sz w:val="20"/>
                <w:szCs w:val="20"/>
                <w:lang w:val="kk-KZ"/>
              </w:rPr>
              <w:t>.</w:t>
            </w:r>
            <w:r w:rsidR="00332CCC" w:rsidRPr="00697944">
              <w:rPr>
                <w:sz w:val="20"/>
                <w:szCs w:val="20"/>
              </w:rPr>
              <w:t xml:space="preserve"> </w:t>
            </w:r>
            <w:r w:rsidR="00332CC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332CCC" w:rsidRPr="00CE0EF2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332CCC" w:rsidRPr="00E941DF" w:rsidRDefault="00332CCC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820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D87D146" w:rsidR="00117820" w:rsidRPr="00697944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3. </w:t>
            </w:r>
            <w:r w:rsidR="007D3B4F">
              <w:t>ҮЕҰ типологиясы: мақсаттары, қызметтік салалары</w:t>
            </w:r>
            <w:r w:rsidR="002E7729" w:rsidRPr="002E772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7F4965F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820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FE6139C" w:rsidR="00117820" w:rsidRPr="00697944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3. </w:t>
            </w:r>
            <w:r w:rsidR="007D3B4F">
              <w:t>Қазақстандағы ҮЕҰ типологиясы</w:t>
            </w:r>
            <w:r w:rsidR="002E7729" w:rsidRPr="002E772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7D39A6C8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32FBE8A" w:rsidR="00117820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7820" w:rsidRPr="003F2DC5" w14:paraId="58F50E31" w14:textId="77777777" w:rsidTr="001A6AA6">
        <w:tc>
          <w:tcPr>
            <w:tcW w:w="1135" w:type="dxa"/>
            <w:vMerge/>
            <w:shd w:val="clear" w:color="auto" w:fill="auto"/>
          </w:tcPr>
          <w:p w14:paraId="1E0E298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BD6D1" w14:textId="7D32806E" w:rsidR="00117820" w:rsidRPr="00117820" w:rsidRDefault="009A1686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117820" w:rsidRPr="00117820">
              <w:rPr>
                <w:b/>
                <w:sz w:val="20"/>
                <w:szCs w:val="20"/>
              </w:rPr>
              <w:t xml:space="preserve"> 1. </w:t>
            </w:r>
            <w:r w:rsidR="007D2B0F">
              <w:t>Азаматтық қоғам теорияларына шолу</w:t>
            </w:r>
            <w:r w:rsidR="00117820"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E4CE14B" w14:textId="77777777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C047D" w14:textId="403068C5" w:rsidR="00117820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86E8A" w:rsidRPr="003F2DC5" w14:paraId="47CE633E" w14:textId="77777777" w:rsidTr="00125925">
        <w:tc>
          <w:tcPr>
            <w:tcW w:w="10509" w:type="dxa"/>
            <w:gridSpan w:val="4"/>
            <w:shd w:val="clear" w:color="auto" w:fill="auto"/>
          </w:tcPr>
          <w:p w14:paraId="21E77709" w14:textId="7BA1B35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2 - </w:t>
            </w:r>
            <w:r w:rsidRPr="00C86E8A">
              <w:rPr>
                <w:b/>
                <w:color w:val="000000" w:themeColor="text1"/>
                <w:sz w:val="20"/>
                <w:szCs w:val="20"/>
                <w:lang w:val="kk-KZ"/>
              </w:rPr>
              <w:t>Кейс-менеджменттің теориялық негіздері</w:t>
            </w:r>
          </w:p>
        </w:tc>
      </w:tr>
      <w:tr w:rsidR="009A1686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2F0407A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4. </w:t>
            </w:r>
            <w:r w:rsidR="007D3B4F">
              <w:t>ҮЕҰ құқықтық-нормативтік негіздері (ҚР заңдары, халықаралық құжаттар)</w:t>
            </w:r>
            <w:r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27C032A1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1686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0C40A226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4. </w:t>
            </w:r>
            <w:r w:rsidR="007D3B4F">
              <w:t>ҚР заңнамасы және ҮЕҰ құқықтық мәртебесі</w:t>
            </w:r>
            <w:r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13631A9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EDF4126" w:rsidR="009A1686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611AB3FF" w14:textId="77777777" w:rsidTr="001A6AA6">
        <w:tc>
          <w:tcPr>
            <w:tcW w:w="1135" w:type="dxa"/>
            <w:vMerge/>
            <w:shd w:val="clear" w:color="auto" w:fill="auto"/>
          </w:tcPr>
          <w:p w14:paraId="56F46BF5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DE6D5E" w14:textId="49F14078" w:rsidR="009A1686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6A768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212F27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41209CBE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5. </w:t>
            </w:r>
            <w:r w:rsidR="007D3B4F">
              <w:t>ҮЕҰ құрылымдық өлшемдері: формалды және бейформалды байланыстар</w:t>
            </w:r>
          </w:p>
        </w:tc>
        <w:tc>
          <w:tcPr>
            <w:tcW w:w="860" w:type="dxa"/>
            <w:shd w:val="clear" w:color="auto" w:fill="auto"/>
          </w:tcPr>
          <w:p w14:paraId="71D44693" w14:textId="5BFFCD00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3FA80C8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5. </w:t>
            </w:r>
            <w:r w:rsidR="007D3B4F">
              <w:t>ҮЕҰ формалды-бейформалды құрылымдарының мысалдары</w:t>
            </w:r>
            <w:r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ECDF05" w14:textId="7F68510A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4126DED" w:rsidR="00C86E8A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01659F91" w:rsidR="00C86E8A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C86E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="00C86E8A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117820">
              <w:rPr>
                <w:b/>
                <w:sz w:val="20"/>
                <w:szCs w:val="20"/>
                <w:lang w:val="kk-KZ"/>
              </w:rPr>
              <w:t>2</w:t>
            </w:r>
            <w:r w:rsidR="00C86E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86E8A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117820">
              <w:rPr>
                <w:sz w:val="20"/>
                <w:szCs w:val="20"/>
                <w:lang w:val="kk-KZ"/>
              </w:rPr>
              <w:t>.</w:t>
            </w:r>
            <w:r w:rsidR="00C86E8A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6E8A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1A2C834D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6</w:t>
            </w:r>
            <w:r w:rsidR="007D3B4F">
              <w:t xml:space="preserve"> ҮЕҰ басқару үлгілері мен ұйымдастырушылық иерархия</w:t>
            </w:r>
            <w:r w:rsidRPr="0011782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5FF9D6E1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6E3EEAD2" w:rsidR="00C86E8A" w:rsidRPr="007D3B4F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="007D3B4F" w:rsidRPr="007D3B4F">
              <w:rPr>
                <w:lang w:val="kk-KZ"/>
              </w:rPr>
              <w:t>ҮЕҰ ішкі басқару және көшбасшылық стильдері</w:t>
            </w:r>
          </w:p>
        </w:tc>
        <w:tc>
          <w:tcPr>
            <w:tcW w:w="860" w:type="dxa"/>
            <w:shd w:val="clear" w:color="auto" w:fill="auto"/>
          </w:tcPr>
          <w:p w14:paraId="168C557A" w14:textId="0EB56576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85ED3EB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79EC09C3" w:rsidR="00C86E8A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117820" w:rsidRPr="00117820">
              <w:rPr>
                <w:b/>
                <w:sz w:val="20"/>
                <w:szCs w:val="20"/>
              </w:rPr>
              <w:t xml:space="preserve"> 2. </w:t>
            </w:r>
            <w:r w:rsidR="007D2B0F">
              <w:t>азақстандағы нақты ҮЕҰ-дың типін талдау</w:t>
            </w:r>
            <w:r w:rsidR="00117820"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4A262D74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86E8A" w:rsidRPr="003F2DC5" w14:paraId="78F65D97" w14:textId="77777777" w:rsidTr="00125925">
        <w:tc>
          <w:tcPr>
            <w:tcW w:w="10509" w:type="dxa"/>
            <w:gridSpan w:val="4"/>
            <w:shd w:val="clear" w:color="auto" w:fill="auto"/>
          </w:tcPr>
          <w:p w14:paraId="59BE6A06" w14:textId="20B96FA7" w:rsidR="00C86E8A" w:rsidRPr="00C86E8A" w:rsidRDefault="00C86E8A" w:rsidP="00C86E8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86E8A">
              <w:rPr>
                <w:b/>
                <w:color w:val="000000" w:themeColor="text1"/>
                <w:sz w:val="20"/>
                <w:szCs w:val="20"/>
                <w:lang w:val="kk-KZ"/>
              </w:rPr>
              <w:t>Модуль 3 - Кейс-менеджменттегі бағалау және жоспарлау</w:t>
            </w:r>
          </w:p>
        </w:tc>
      </w:tr>
      <w:tr w:rsidR="00C86E8A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54DA8426" w:rsidR="00C86E8A" w:rsidRPr="00697944" w:rsidRDefault="00117820" w:rsidP="000E7B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7D3B4F" w:rsidRPr="007D3B4F">
              <w:rPr>
                <w:lang w:val="kk-KZ"/>
              </w:rPr>
              <w:t>ҮЕҰ желілік құрылымы және серіктестік формалары</w:t>
            </w:r>
            <w:r w:rsidR="000E7B66" w:rsidRPr="00B600A3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60020CAC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C86E8A" w:rsidRPr="00F3672F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6E8A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0A690C4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7</w:t>
            </w:r>
            <w:r w:rsidR="007D3B4F">
              <w:t xml:space="preserve"> ҮЕҰ желілік серіктестіктерін талдау (кейстер)</w:t>
            </w:r>
            <w:r w:rsidR="000E7B66" w:rsidRPr="00B600A3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89CA76B" w14:textId="49AD1426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041FC9AF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C86E8A" w:rsidRPr="00697944" w:rsidRDefault="00C86E8A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A1686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362E94C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8. </w:t>
            </w:r>
            <w:r w:rsidR="007D3B4F">
              <w:t>Мемлекет пен ҮЕҰ өзара іс-қимылы</w:t>
            </w:r>
          </w:p>
        </w:tc>
        <w:tc>
          <w:tcPr>
            <w:tcW w:w="860" w:type="dxa"/>
            <w:shd w:val="clear" w:color="auto" w:fill="auto"/>
          </w:tcPr>
          <w:p w14:paraId="3C5F8DE6" w14:textId="0FEAE4B4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1686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0CACF228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8. </w:t>
            </w:r>
            <w:r w:rsidR="007D3B4F">
              <w:t>Мемлекет пен ҮЕҰ диалогы (дөңгелек үстел үлгісінде)</w:t>
            </w:r>
          </w:p>
        </w:tc>
        <w:tc>
          <w:tcPr>
            <w:tcW w:w="860" w:type="dxa"/>
            <w:shd w:val="clear" w:color="auto" w:fill="auto"/>
          </w:tcPr>
          <w:p w14:paraId="1BA493EE" w14:textId="41547A46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EFFCB77" w:rsidR="009A1686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143D58C4" w14:textId="77777777" w:rsidTr="001A6AA6">
        <w:tc>
          <w:tcPr>
            <w:tcW w:w="1135" w:type="dxa"/>
            <w:vMerge/>
            <w:shd w:val="clear" w:color="auto" w:fill="auto"/>
          </w:tcPr>
          <w:p w14:paraId="0E8F2ED1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03CBAA" w14:textId="0046594B" w:rsidR="009A1686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AA8F406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A67E05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00A3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BA9676F" w:rsidR="00B600A3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9. </w:t>
            </w:r>
            <w:r w:rsidR="007D3B4F">
              <w:t>ҮЕҰ мен бизнес құрылымдардың әлеуметтік әріптестігі</w:t>
            </w:r>
            <w:r w:rsidR="002E7729" w:rsidRPr="002E7729">
              <w:rPr>
                <w:bCs/>
                <w:sz w:val="20"/>
                <w:szCs w:val="20"/>
              </w:rPr>
              <w:t>.</w:t>
            </w:r>
            <w:r w:rsidR="002E7729"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1E3F9E18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00A3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4ACC8EA" w:rsidR="00B600A3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9. </w:t>
            </w:r>
            <w:r w:rsidR="007D3B4F">
              <w:t>ҮЕҰ мен бизнес ынтымақтастығы (корпоративтік әлеуметтік жауапкершілік)</w:t>
            </w:r>
            <w:r w:rsidR="002E7729" w:rsidRPr="002E772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09A0CD79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EB82BA9" w:rsidR="00B600A3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600A3" w:rsidRPr="003F2DC5" w14:paraId="1FDA0649" w14:textId="77777777" w:rsidTr="001A6AA6">
        <w:tc>
          <w:tcPr>
            <w:tcW w:w="1135" w:type="dxa"/>
            <w:vMerge/>
            <w:shd w:val="clear" w:color="auto" w:fill="auto"/>
          </w:tcPr>
          <w:p w14:paraId="162EE5B8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2F7992" w14:textId="0D57A84D" w:rsidR="00B600A3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B600A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="00B600A3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B600A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B600A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600A3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B600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579294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9F2EFA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1686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D90EC50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10. </w:t>
            </w:r>
            <w:r w:rsidR="007D3B4F">
              <w:t>ҮЕҰ-дағы әлеуметтік жобалау және қаржыландыру</w:t>
            </w:r>
            <w:r w:rsidR="002E7729"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78F74AC2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1686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1E54A1C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10</w:t>
            </w:r>
            <w:r w:rsidR="007D3B4F">
              <w:t xml:space="preserve"> Әлеуметтік жоба әзірлеу тәжірибесі</w:t>
            </w:r>
            <w:r w:rsidR="002E7729" w:rsidRPr="002E772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41FBF055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7695720" w:rsidR="009A1686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6F541773" w14:textId="77777777" w:rsidTr="001A6AA6">
        <w:tc>
          <w:tcPr>
            <w:tcW w:w="1135" w:type="dxa"/>
            <w:vMerge/>
            <w:shd w:val="clear" w:color="auto" w:fill="auto"/>
          </w:tcPr>
          <w:p w14:paraId="29D9B734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60A01" w14:textId="0D7FFBC5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E7B66">
              <w:rPr>
                <w:b/>
                <w:sz w:val="20"/>
                <w:szCs w:val="20"/>
              </w:rPr>
              <w:t xml:space="preserve"> 3. </w:t>
            </w:r>
            <w:r w:rsidR="007D2B0F">
              <w:t>Мемлекет пен ҮЕҰ байланысына талдау</w:t>
            </w:r>
            <w:r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A801D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A19168" w14:textId="15D8943C" w:rsidR="009A1686" w:rsidRPr="00A46E8B" w:rsidRDefault="00A46E8B" w:rsidP="00C86E8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46E8B">
              <w:rPr>
                <w:bCs/>
                <w:sz w:val="20"/>
                <w:szCs w:val="20"/>
              </w:rPr>
              <w:t>18</w:t>
            </w:r>
          </w:p>
        </w:tc>
      </w:tr>
      <w:tr w:rsidR="00C86E8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A29470C" w:rsidR="00C86E8A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11. </w:t>
            </w:r>
            <w:r w:rsidR="007D3B4F">
              <w:t>ҮЕҰ қызметін бағалау: тиімділік өлшемдері</w:t>
            </w:r>
            <w:r w:rsidR="002E7729" w:rsidRPr="002E772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7CA1BA" w14:textId="793FD075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6F0230D" w:rsidR="00C86E8A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="007D3B4F">
              <w:t>ҮЕҰ тиімділігін бағалау әдістері (SWOT, логикалық модельдер)</w:t>
            </w:r>
            <w:r w:rsidR="007D3B4F" w:rsidRPr="002E7729">
              <w:rPr>
                <w:sz w:val="20"/>
                <w:szCs w:val="20"/>
              </w:rPr>
              <w:t xml:space="preserve"> </w:t>
            </w:r>
            <w:r w:rsidR="002E7729" w:rsidRPr="002E7729">
              <w:rPr>
                <w:sz w:val="20"/>
                <w:szCs w:val="20"/>
              </w:rPr>
              <w:t>і.</w:t>
            </w:r>
          </w:p>
        </w:tc>
        <w:tc>
          <w:tcPr>
            <w:tcW w:w="860" w:type="dxa"/>
            <w:shd w:val="clear" w:color="auto" w:fill="auto"/>
          </w:tcPr>
          <w:p w14:paraId="58D8B663" w14:textId="202D01B5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0BA08D3" w:rsidR="00C86E8A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C2EF14C" w14:textId="77777777" w:rsidTr="00125925">
        <w:tc>
          <w:tcPr>
            <w:tcW w:w="10509" w:type="dxa"/>
            <w:gridSpan w:val="4"/>
            <w:shd w:val="clear" w:color="auto" w:fill="auto"/>
          </w:tcPr>
          <w:p w14:paraId="3042C291" w14:textId="406B79C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F1C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4 - Кейс-менеджментте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кейстің басқару</w:t>
            </w:r>
            <w:r w:rsidRPr="00CF1C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және мониторинг</w:t>
            </w:r>
          </w:p>
        </w:tc>
      </w:tr>
      <w:tr w:rsidR="002E7729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289A5A1" w:rsidR="002E7729" w:rsidRPr="00697944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12. </w:t>
            </w:r>
            <w:r w:rsidR="007D3B4F">
              <w:t>ҮЕҰ қоғамдық пікір қалыптастырушы институт ретінде</w:t>
            </w:r>
          </w:p>
        </w:tc>
        <w:tc>
          <w:tcPr>
            <w:tcW w:w="860" w:type="dxa"/>
            <w:shd w:val="clear" w:color="auto" w:fill="auto"/>
          </w:tcPr>
          <w:p w14:paraId="6422F453" w14:textId="79A73120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55BFEC9A" w:rsidR="002E7729" w:rsidRPr="00697944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7D2B0F">
              <w:t>ҮЕҰ-дың ақпараттық саясаттағы орны (PR, медиа)</w:t>
            </w:r>
            <w:r w:rsidR="0068604E" w:rsidRPr="0068604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1E14978E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F6F9FBF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462275E4" w:rsidR="002E7729" w:rsidRPr="00AF62D6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13</w:t>
            </w:r>
            <w:r w:rsidR="007D3B4F">
              <w:t xml:space="preserve"> Халықаралық ҮЕҰ тәжірибесі: БҰҰ, ЕО, USAID, т.б</w:t>
            </w:r>
            <w:r w:rsidR="0068604E" w:rsidRPr="0068604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502940" w14:textId="1706F10A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1CA4E263" w:rsidR="002E7729" w:rsidRPr="00AF62D6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13.</w:t>
            </w:r>
            <w:r>
              <w:t xml:space="preserve"> </w:t>
            </w:r>
            <w:r w:rsidR="007D2B0F">
              <w:t>Халықаралық ҮЕҰ қызметі бойынша презентациялар</w:t>
            </w:r>
            <w:r w:rsidR="0068604E" w:rsidRPr="0068604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38F08F" w14:textId="0059C6EE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CFA629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98E38B1" w14:textId="77777777" w:rsidTr="001A6AA6">
        <w:tc>
          <w:tcPr>
            <w:tcW w:w="1135" w:type="dxa"/>
            <w:vMerge/>
            <w:shd w:val="clear" w:color="auto" w:fill="auto"/>
          </w:tcPr>
          <w:p w14:paraId="1235E3FC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77F092" w14:textId="5D1D6D30" w:rsidR="002E7729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54E974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8CEDDF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129E6F7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14. </w:t>
            </w:r>
            <w:r w:rsidR="007D3B4F">
              <w:t>Қазақстандағы ҮЕҰ: даму тенденциялары мен проблемалары</w:t>
            </w:r>
            <w:r w:rsidRPr="000E7B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4D747A" w14:textId="0F315814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72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E8C9958" w:rsidR="002E7729" w:rsidRPr="00876EB4" w:rsidRDefault="002E7729" w:rsidP="002E77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="007D2B0F">
              <w:t>Қазақстандағы ҮЕҰ тәжірибесін талдау (жергілікті мысалдар)</w:t>
            </w:r>
            <w:r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730CB2E8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00D347F9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2E6F440F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E7B66">
              <w:rPr>
                <w:b/>
                <w:sz w:val="20"/>
                <w:szCs w:val="20"/>
              </w:rPr>
              <w:t xml:space="preserve"> 4. </w:t>
            </w:r>
            <w:r w:rsidR="007D2B0F">
              <w:t>Халықаралық ҮЕҰ тәжірибесіне салыстырмалы талдау</w:t>
            </w:r>
            <w:r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7394866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3FBC78A8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E7729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E7729" w:rsidRPr="00F65A34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A34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3F370495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15. </w:t>
            </w:r>
            <w:r w:rsidR="007D3B4F">
              <w:t>Қорытындылау. Зерттеу жобаларын қорғау</w:t>
            </w:r>
            <w:r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783BEFF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33DD53E" w14:textId="77777777" w:rsidTr="00CE0EF2">
        <w:tc>
          <w:tcPr>
            <w:tcW w:w="1135" w:type="dxa"/>
            <w:vMerge/>
            <w:shd w:val="clear" w:color="auto" w:fill="auto"/>
          </w:tcPr>
          <w:p w14:paraId="454DEDA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2ADDB636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="007D2B0F">
              <w:t>Студенттік жобаларды қорғау</w:t>
            </w:r>
          </w:p>
        </w:tc>
        <w:tc>
          <w:tcPr>
            <w:tcW w:w="860" w:type="dxa"/>
            <w:shd w:val="clear" w:color="auto" w:fill="FFFFFF" w:themeFill="background1"/>
          </w:tcPr>
          <w:p w14:paraId="5B144FDD" w14:textId="2E71441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4888814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2A36CEE3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Pr="00081114">
              <w:rPr>
                <w:sz w:val="20"/>
                <w:szCs w:val="20"/>
              </w:rPr>
              <w:t>Емтихан сұрақтарына дайындық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59577F6B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729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2E7729" w:rsidRPr="003F2DC5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E7729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2E7729" w:rsidRPr="003F2DC5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E7729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2E7729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2E7729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FCA9860" w:rsidR="00A72D3C" w:rsidRDefault="00A72D3C">
      <w:pPr>
        <w:jc w:val="both"/>
        <w:rPr>
          <w:sz w:val="20"/>
          <w:szCs w:val="20"/>
        </w:rPr>
      </w:pPr>
    </w:p>
    <w:p w14:paraId="5A447427" w14:textId="0F28D317" w:rsidR="009033F7" w:rsidRDefault="009033F7">
      <w:pPr>
        <w:jc w:val="both"/>
        <w:rPr>
          <w:sz w:val="20"/>
          <w:szCs w:val="20"/>
        </w:rPr>
      </w:pPr>
    </w:p>
    <w:p w14:paraId="2C36C172" w14:textId="4BA7ECB5" w:rsidR="009033F7" w:rsidRDefault="009033F7">
      <w:pPr>
        <w:jc w:val="both"/>
        <w:rPr>
          <w:sz w:val="20"/>
          <w:szCs w:val="20"/>
        </w:rPr>
      </w:pPr>
    </w:p>
    <w:p w14:paraId="0430C1BC" w14:textId="3C21C3DC" w:rsidR="009033F7" w:rsidRDefault="009033F7">
      <w:pPr>
        <w:jc w:val="both"/>
        <w:rPr>
          <w:sz w:val="20"/>
          <w:szCs w:val="20"/>
        </w:rPr>
      </w:pPr>
    </w:p>
    <w:p w14:paraId="76639161" w14:textId="64CD3ADC" w:rsidR="009F309F" w:rsidRDefault="009F309F">
      <w:pPr>
        <w:jc w:val="both"/>
        <w:rPr>
          <w:sz w:val="20"/>
          <w:szCs w:val="20"/>
        </w:rPr>
      </w:pPr>
    </w:p>
    <w:p w14:paraId="3057F73E" w14:textId="39B4DFE3" w:rsidR="009F309F" w:rsidRDefault="009F309F">
      <w:pPr>
        <w:jc w:val="both"/>
        <w:rPr>
          <w:sz w:val="20"/>
          <w:szCs w:val="20"/>
        </w:rPr>
      </w:pPr>
    </w:p>
    <w:p w14:paraId="6AFDE38D" w14:textId="290F7B21" w:rsidR="009F309F" w:rsidRDefault="009F309F">
      <w:pPr>
        <w:jc w:val="both"/>
        <w:rPr>
          <w:sz w:val="20"/>
          <w:szCs w:val="20"/>
        </w:rPr>
      </w:pPr>
    </w:p>
    <w:p w14:paraId="51F371D6" w14:textId="0362F836" w:rsidR="009F309F" w:rsidRDefault="009F309F">
      <w:pPr>
        <w:jc w:val="both"/>
        <w:rPr>
          <w:sz w:val="20"/>
          <w:szCs w:val="20"/>
        </w:rPr>
      </w:pPr>
    </w:p>
    <w:p w14:paraId="06D8DE74" w14:textId="48DAA969" w:rsidR="009F309F" w:rsidRDefault="009F309F">
      <w:pPr>
        <w:jc w:val="both"/>
        <w:rPr>
          <w:sz w:val="20"/>
          <w:szCs w:val="20"/>
        </w:rPr>
      </w:pPr>
    </w:p>
    <w:p w14:paraId="07A1ED80" w14:textId="6A20FE7F" w:rsidR="009F309F" w:rsidRDefault="009F309F">
      <w:pPr>
        <w:jc w:val="both"/>
        <w:rPr>
          <w:sz w:val="20"/>
          <w:szCs w:val="20"/>
        </w:rPr>
      </w:pPr>
    </w:p>
    <w:p w14:paraId="0ED0346B" w14:textId="64779E06" w:rsidR="009F309F" w:rsidRDefault="009F309F">
      <w:pPr>
        <w:jc w:val="both"/>
        <w:rPr>
          <w:sz w:val="20"/>
          <w:szCs w:val="20"/>
        </w:rPr>
      </w:pPr>
    </w:p>
    <w:p w14:paraId="4BE4676D" w14:textId="77777777" w:rsidR="00490EBE" w:rsidRDefault="00490EBE">
      <w:pPr>
        <w:jc w:val="both"/>
        <w:rPr>
          <w:sz w:val="20"/>
          <w:szCs w:val="20"/>
        </w:rPr>
        <w:sectPr w:rsidR="00490EBE" w:rsidSect="009F309F">
          <w:pgSz w:w="11906" w:h="16838"/>
          <w:pgMar w:top="568" w:right="850" w:bottom="1418" w:left="1701" w:header="708" w:footer="708" w:gutter="0"/>
          <w:pgNumType w:start="1"/>
          <w:cols w:space="720"/>
          <w:docGrid w:linePitch="326"/>
        </w:sectPr>
      </w:pPr>
    </w:p>
    <w:p w14:paraId="6B5C9718" w14:textId="77777777" w:rsidR="00F14E0E" w:rsidRPr="00AE5A91" w:rsidRDefault="00F14E0E" w:rsidP="00F14E0E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AE5A91">
        <w:rPr>
          <w:b/>
          <w:bCs/>
          <w:sz w:val="20"/>
          <w:szCs w:val="20"/>
          <w:lang w:eastAsia="ru-RU"/>
        </w:rPr>
        <w:lastRenderedPageBreak/>
        <w:t xml:space="preserve">ҚОРЫТЫНДЫ БАҚЫЛАУДЫ КРИТЕРИАЛДЫ БАҒАЛАУ </w:t>
      </w:r>
      <w:r w:rsidRPr="00AE5A91">
        <w:rPr>
          <w:b/>
          <w:bCs/>
          <w:sz w:val="20"/>
          <w:szCs w:val="20"/>
          <w:lang w:val="kk-KZ" w:eastAsia="ru-RU"/>
        </w:rPr>
        <w:t>РУБРИКАТОРЫ</w:t>
      </w:r>
    </w:p>
    <w:p w14:paraId="5A1D54F9" w14:textId="77777777" w:rsidR="00F14E0E" w:rsidRPr="00AE5A91" w:rsidRDefault="00F14E0E" w:rsidP="00F14E0E">
      <w:pPr>
        <w:jc w:val="center"/>
        <w:textAlignment w:val="baseline"/>
        <w:rPr>
          <w:i/>
          <w:iCs/>
          <w:sz w:val="20"/>
          <w:szCs w:val="20"/>
          <w:lang w:val="kk-KZ" w:eastAsia="ru-RU"/>
        </w:rPr>
      </w:pPr>
      <w:r w:rsidRPr="00AE5A91">
        <w:rPr>
          <w:sz w:val="20"/>
          <w:szCs w:val="20"/>
          <w:lang w:val="kk-KZ" w:eastAsia="ru-RU"/>
        </w:rPr>
        <w:t> </w:t>
      </w:r>
      <w:r w:rsidRPr="00AE5A91">
        <w:rPr>
          <w:i/>
          <w:iCs/>
          <w:color w:val="FF0000"/>
          <w:sz w:val="20"/>
          <w:szCs w:val="20"/>
          <w:lang w:val="kk-KZ" w:eastAsia="ru-RU"/>
        </w:rPr>
        <w:t>   </w:t>
      </w:r>
      <w:r w:rsidRPr="00AE5A91">
        <w:rPr>
          <w:i/>
          <w:iCs/>
          <w:sz w:val="20"/>
          <w:szCs w:val="20"/>
          <w:lang w:val="kk-KZ" w:eastAsia="ru-RU"/>
        </w:rPr>
        <w:t>(стандартты ауызша / жазбаша нысандар үшін)</w:t>
      </w:r>
    </w:p>
    <w:p w14:paraId="3251CBF8" w14:textId="77777777" w:rsidR="00F14E0E" w:rsidRPr="00AE5A91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</w:p>
    <w:p w14:paraId="070AB812" w14:textId="581A2F70" w:rsidR="00F14E0E" w:rsidRPr="00F14E0E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  <w:r w:rsidRPr="00AE5A91">
        <w:rPr>
          <w:b/>
          <w:bCs/>
          <w:sz w:val="20"/>
          <w:szCs w:val="20"/>
          <w:lang w:val="kk-KZ" w:eastAsia="ru-RU"/>
        </w:rPr>
        <w:t>Пән</w:t>
      </w:r>
      <w:r w:rsidRPr="00F14E0E">
        <w:rPr>
          <w:sz w:val="20"/>
          <w:szCs w:val="20"/>
          <w:lang w:val="kk-KZ" w:eastAsia="ru-RU"/>
        </w:rPr>
        <w:t xml:space="preserve">: Әлеуметтік жұмыстағы кейс-менеджмент </w:t>
      </w:r>
      <w:r w:rsidRPr="00F14E0E">
        <w:rPr>
          <w:b/>
          <w:bCs/>
          <w:sz w:val="20"/>
          <w:szCs w:val="20"/>
          <w:lang w:val="kk-KZ" w:eastAsia="ru-RU"/>
        </w:rPr>
        <w:t>Форма:</w:t>
      </w:r>
      <w:r w:rsidRPr="00F14E0E">
        <w:rPr>
          <w:sz w:val="20"/>
          <w:szCs w:val="20"/>
          <w:lang w:val="kk-KZ" w:eastAsia="ru-RU"/>
        </w:rPr>
        <w:t xml:space="preserve"> Жазбаша</w:t>
      </w:r>
      <w:r w:rsidRPr="00F14E0E">
        <w:rPr>
          <w:b/>
          <w:bCs/>
          <w:sz w:val="20"/>
          <w:szCs w:val="20"/>
          <w:lang w:val="kk-KZ" w:eastAsia="ru-RU"/>
        </w:rPr>
        <w:t xml:space="preserve"> Платформа: </w:t>
      </w:r>
      <w:r>
        <w:rPr>
          <w:sz w:val="20"/>
          <w:szCs w:val="20"/>
          <w:lang w:val="kk-KZ" w:eastAsia="ru-RU"/>
        </w:rPr>
        <w:t>оффлайн</w:t>
      </w:r>
    </w:p>
    <w:p w14:paraId="41444F40" w14:textId="77777777" w:rsidR="00F14E0E" w:rsidRPr="00F14E0E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281"/>
        <w:gridCol w:w="2982"/>
        <w:gridCol w:w="2277"/>
        <w:gridCol w:w="2369"/>
        <w:gridCol w:w="2197"/>
        <w:gridCol w:w="1967"/>
      </w:tblGrid>
      <w:tr w:rsidR="00F14E0E" w:rsidRPr="00AE5A91" w14:paraId="33D0473D" w14:textId="77777777" w:rsidTr="00125925">
        <w:trPr>
          <w:trHeight w:val="12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A11361" w14:textId="77777777" w:rsidR="00F14E0E" w:rsidRPr="00F14E0E" w:rsidRDefault="00F14E0E" w:rsidP="0012592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627154DD" w14:textId="77777777" w:rsidR="00F14E0E" w:rsidRPr="00F14E0E" w:rsidRDefault="00F14E0E" w:rsidP="00125925">
            <w:pPr>
              <w:rPr>
                <w:sz w:val="20"/>
                <w:szCs w:val="20"/>
                <w:lang w:val="kk-KZ" w:eastAsia="ru-RU"/>
              </w:rPr>
            </w:pPr>
          </w:p>
          <w:p w14:paraId="30D1A064" w14:textId="77777777" w:rsidR="00F14E0E" w:rsidRPr="00F14E0E" w:rsidRDefault="00F14E0E" w:rsidP="00125925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02EAB3" w14:textId="77777777" w:rsidR="00F14E0E" w:rsidRPr="00AE5A91" w:rsidRDefault="00F14E0E" w:rsidP="00125925">
            <w:pPr>
              <w:jc w:val="right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01C92" wp14:editId="4D84DD36">
                      <wp:simplePos x="0" y="0"/>
                      <wp:positionH relativeFrom="column">
                        <wp:posOffset>17241</wp:posOffset>
                      </wp:positionH>
                      <wp:positionV relativeFrom="paragraph">
                        <wp:posOffset>22738</wp:posOffset>
                      </wp:positionV>
                      <wp:extent cx="1473295" cy="605060"/>
                      <wp:effectExtent l="0" t="0" r="31750" b="24130"/>
                      <wp:wrapNone/>
                      <wp:docPr id="604507223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95" cy="60506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694E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.8pt" to="117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" strokecolor="black [3213]" strokeweight=".5pt"/>
                  </w:pict>
                </mc:Fallback>
              </mc:AlternateConten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>Балл</w:t>
            </w:r>
          </w:p>
          <w:p w14:paraId="0BF2D515" w14:textId="77777777" w:rsidR="00F14E0E" w:rsidRPr="00AE5A91" w:rsidRDefault="00F14E0E" w:rsidP="0012592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DE54A70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hideMark/>
          </w:tcPr>
          <w:p w14:paraId="60659349" w14:textId="77777777" w:rsidR="00F14E0E" w:rsidRPr="00AE5A91" w:rsidRDefault="00F14E0E" w:rsidP="0012592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ДЕСКРИПТОРЛАР</w:t>
            </w:r>
          </w:p>
        </w:tc>
      </w:tr>
      <w:tr w:rsidR="00F14E0E" w:rsidRPr="00AE5A91" w14:paraId="0513635E" w14:textId="77777777" w:rsidTr="00125925">
        <w:trPr>
          <w:trHeight w:val="125"/>
        </w:trPr>
        <w:tc>
          <w:tcPr>
            <w:tcW w:w="80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9C254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20B1022F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1AD8D9B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  <w:p w14:paraId="3A1E468E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8587DC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B9C755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120DB7F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918C40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BE496B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F14E0E" w:rsidRPr="00AE5A91" w14:paraId="11FA7DC4" w14:textId="77777777" w:rsidTr="00125925">
        <w:trPr>
          <w:trHeight w:val="27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3D7CA4A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785B1E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4C4665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3568E1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70-89%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0577ED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D6800F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FBABCC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2B47A8" w:rsidRPr="00AE5A91" w14:paraId="5048A04B" w14:textId="77777777" w:rsidTr="002B47A8">
        <w:trPr>
          <w:trHeight w:val="62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774B6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  <w:p w14:paraId="06053FEA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271A6AA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37325" w14:textId="61A1BA5B" w:rsidR="002B47A8" w:rsidRPr="00125925" w:rsidRDefault="002B47A8" w:rsidP="002B47A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25925">
              <w:rPr>
                <w:sz w:val="20"/>
                <w:szCs w:val="20"/>
                <w:lang w:val="kk-KZ" w:eastAsia="ru-RU"/>
              </w:rPr>
              <w:t>1 критерийі </w:t>
            </w:r>
            <w:r w:rsidRPr="00125925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  <w:lang w:val="kk-KZ"/>
              </w:rPr>
              <w:t>Сабақтарға қатысу және семинарлар мен жеке тапсырмаларды орындау кезінде алынған кейс-менеджмент туралы білімді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B7391" w14:textId="77777777" w:rsidR="00125925" w:rsidRPr="00101918" w:rsidRDefault="00125925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259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қойылған сұрақтарға толық жауап береді, тақырыпты ашады. </w:t>
            </w: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Жауап мыналарды қамтиды</w:t>
            </w:r>
          </w:p>
          <w:p w14:paraId="5E350C6F" w14:textId="553D39CC" w:rsidR="002B47A8" w:rsidRPr="00101918" w:rsidRDefault="00125925" w:rsidP="00125925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01918">
              <w:rPr>
                <w:sz w:val="20"/>
                <w:szCs w:val="20"/>
                <w:lang w:val="kk-KZ" w:eastAsia="ru-RU"/>
              </w:rPr>
              <w:t>әдебиеттің тиісті көздері. Жауапта арнайы терминдер мен ұғымдар дұрыс қолданылады.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999C0" w14:textId="3A4672A2" w:rsidR="002B47A8" w:rsidRPr="00101918" w:rsidRDefault="002B47A8" w:rsidP="002B47A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</w:t>
            </w:r>
            <w:r w:rsidR="00125925"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Жалпы жауапта тақырыптың негізгі сұрақтары ашылады.  Дәлелдер келтірілген. Тиісті дереккөздер ұсынылған, бірақ қосымша әдебиеттер қолданылмайды немесе жеткіліксіз қолданылады.</w:t>
            </w:r>
          </w:p>
          <w:p w14:paraId="342AEECB" w14:textId="4D588F98" w:rsidR="002B47A8" w:rsidRPr="00101918" w:rsidRDefault="002B47A8" w:rsidP="002B47A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32762" w14:textId="77777777" w:rsidR="00125925" w:rsidRPr="00101918" w:rsidRDefault="002B47A8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</w:t>
            </w:r>
            <w:r w:rsidR="00125925"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Жұмыс қойылған сұрақтарға толық жауап бермейді, тақырыпты толық ашпайды.</w:t>
            </w:r>
          </w:p>
          <w:p w14:paraId="6E17ADDF" w14:textId="47EA8D67" w:rsidR="002B47A8" w:rsidRPr="00101918" w:rsidRDefault="00125925" w:rsidP="00125925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01918">
              <w:rPr>
                <w:sz w:val="20"/>
                <w:szCs w:val="20"/>
                <w:lang w:val="kk-KZ" w:eastAsia="ru-RU"/>
              </w:rPr>
              <w:t>Ешқандай дәлел жоқ немесе ол дұрыс емес. Дереккөз жұмыс тақырыбына толық сәйкес келмейді.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28293" w14:textId="77777777" w:rsidR="00125925" w:rsidRPr="00101918" w:rsidRDefault="00125925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көлемі бойынша критерийлерді қанағаттандырмайды. Жалпы жауап сұраққа ешқандай ақпаратты қамтымайды. </w:t>
            </w:r>
          </w:p>
          <w:p w14:paraId="1D7632D5" w14:textId="62682B93" w:rsidR="002B47A8" w:rsidRPr="00AE5A91" w:rsidRDefault="00125925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  <w:lang w:eastAsia="ru-RU"/>
              </w:rPr>
              <w:t>Дереккөздерге сілтеме мүлдем жоқ.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8E1BB" w14:textId="2D399345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сұрақтың мазмұнына толығымен сәйкес келмейді.</w:t>
            </w:r>
          </w:p>
        </w:tc>
      </w:tr>
      <w:tr w:rsidR="002B47A8" w:rsidRPr="00AE5A91" w14:paraId="23E09D73" w14:textId="77777777" w:rsidTr="00125925">
        <w:trPr>
          <w:trHeight w:val="221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3A4387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D4333" w14:textId="201AD0B4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 туралы білімді қолдану және негізгі іс-әрекеттерді жүзеге асыру қабілеттерін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7B4FF" w14:textId="72530DA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стандартқа сәйкес кейс-менеджменттің кезеңдері мен міндеттерін жүзеге асыру қабілетінің жоғары деңгейін көрсетеді.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780B1" w14:textId="3F3B707C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кезеңдері мен міндеттерін жүзеге асыру қабілеттерін көрсетеді, бірақ кейс-менеджментті енгізудің стандарттары мен ұсыныстары ескерілмейді.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0C8EA" w14:textId="24CFB5A6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кезеңдері мен міндеттерін жүзеге асырудың әлсіз дағдыларын көрсетеді</w:t>
            </w:r>
            <w:r w:rsidR="002B47A8">
              <w:rPr>
                <w:sz w:val="20"/>
                <w:szCs w:val="20"/>
              </w:rPr>
              <w:t>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87ED7" w14:textId="6BC2103C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қанағаттанарлықсыз дағдыларды көрсетеді, кейс-менеджменттің кезеңдері мен міндеттерін жүзеге асырады.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6E309" w14:textId="09AD9C9D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 жүзеге асыру қабілетінің толық жоқтығын көрсетеді.</w:t>
            </w:r>
          </w:p>
        </w:tc>
      </w:tr>
      <w:tr w:rsidR="002B47A8" w:rsidRPr="00AE5A91" w14:paraId="0C579204" w14:textId="77777777" w:rsidTr="00125925">
        <w:trPr>
          <w:trHeight w:val="10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C9D97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688F1" w14:textId="44F2996F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Әлеуметтік жұмыс теориялары мен заманауи тәсілдерді ескере отырып, кейс-менеджментті іске асыру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057E6" w14:textId="2C171211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толық түсінуді және пайдалануды көрсетеді.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DDEE" w14:textId="51BF73AC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үзінді түсінуді және пайдалануды көрсетеді.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6E952" w14:textId="076F93F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заманауи тәсілдерінің принциптерін түсіну мен пайдаланудың төмен деңгейін көрсетеді.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1E446" w14:textId="62A10905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қанағаттанарлықсыз түсінуді көрсетеді.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F4A70" w14:textId="6E3000C0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теориялық негіздерін, кейс-менеджменттің заманауи тәсілдерінің принциптерін толық түсінбеушілік.</w:t>
            </w:r>
          </w:p>
        </w:tc>
      </w:tr>
      <w:tr w:rsidR="002B47A8" w:rsidRPr="00AE5A91" w14:paraId="0045B7B5" w14:textId="77777777" w:rsidTr="00125925">
        <w:trPr>
          <w:trHeight w:val="161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04FBB2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>2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E157" w14:textId="177CFEEA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sz w:val="20"/>
                <w:szCs w:val="20"/>
                <w:lang w:eastAsia="ru-RU"/>
              </w:rPr>
              <w:t>1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Кейс-менеджменттің әрбір кезеңін талдау және сыни бағалау қабілеттерін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97BE1" w14:textId="31A1C92E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жоғары деңгейді көрсетеді Істі басқару кезеңдерінің әрқайсысын талдау және сыни бағалау.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24632" w14:textId="7D4E7129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жағдайды басқару кезеңдерінің әрқайсысын талдау және сыни тұрғыдан бағалаудың жақсы деңгейін көрсетеді.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D5BE" w14:textId="4A7BFAE0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қанағаттанарлық деңгейді көрсетеді Істі басқару кезеңдерінің әрқайсысын талдау және сыни бағалау.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38AE1" w14:textId="249E53B9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әрбір кезеңін талдауға және сыни тұрғыдан бағалауға қалыптасқан дағдылардың жоқтығын көрсетеді.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39DB4" w14:textId="41D0863F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әрбір кезеңін талдау және сыни тұрғыдан бағалау қабілетінің толық жоқтығын көрсетеді.</w:t>
            </w:r>
          </w:p>
        </w:tc>
      </w:tr>
      <w:tr w:rsidR="002B47A8" w:rsidRPr="00AE5A91" w14:paraId="362CFC59" w14:textId="77777777" w:rsidTr="00125925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A54428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46081" w14:textId="18896D43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Кейс-менеджментті әлеуметтік жұмыс технологиясы ретінде қолдану мүмкіндіктері мен шектеулерін талқылау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6F446" w14:textId="5EAD0E3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дәлелді және логикалық қамтиды жазбаша талдау әлеуметтік жұмыс технологиясы ретінде кейс-менеджментті қолдану мүмкіндіктері мен шектеулері.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5E6B0" w14:textId="682875DF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жағдайды басқарудың мүмкіндіктері мен шектеулерін дәлелді талдауды қамтиды, бірақ жеткілікті айқындық пен логика жоқ.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F9340" w14:textId="5FB75689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Жауапта берілген талдау сыни бағалауды қамтымайды. Жауап тек сипаттамалық болып табылады.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0E99F" w14:textId="151F7C08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Жауаптың мазмұны сұрақпен аз байланысты.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F5DC3" w14:textId="21A99522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 сұрақтың мазмұнына толығымен сәйкес келмейді.</w:t>
            </w:r>
          </w:p>
        </w:tc>
      </w:tr>
      <w:tr w:rsidR="002B47A8" w:rsidRPr="00AE5A91" w14:paraId="5E89D429" w14:textId="77777777" w:rsidTr="00125925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9F46F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30D47" w14:textId="6C72A2C2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Клиенттердің әртүрлі санаттарымен жұмыс істеуде кейс-менеджмент тәжірибесін жақсарту шараларын әзірлеу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15D85" w14:textId="31F7F90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жақсартудың дәлелді және негізделген шараларын қамтиды.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D938E" w14:textId="33AF424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жақсартудың дәлелді шараларын қамтиды, бірақ іс жүзінде және ғылыми негізделген емес.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27910" w14:textId="2EC7843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 шараларын қамтиды, бірақ бұл шаралардың дәлелі жоқ.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B49C7" w14:textId="6101B35B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Жауапта кейс-менеджмент тәжірибесін жақсартудың маңызды емес шаралары келтірілген.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A57DF" w14:textId="5CF0C706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Жауапта шаралар мүлдем жоқ. Жауап сұрақтың мазмұнына толығымен сәйкес келмейді.</w:t>
            </w:r>
          </w:p>
        </w:tc>
      </w:tr>
    </w:tbl>
    <w:p w14:paraId="3318A92E" w14:textId="77777777" w:rsidR="00F14E0E" w:rsidRPr="00AE5A91" w:rsidRDefault="00F14E0E" w:rsidP="00F14E0E">
      <w:pPr>
        <w:jc w:val="center"/>
        <w:rPr>
          <w:sz w:val="20"/>
          <w:szCs w:val="20"/>
        </w:rPr>
      </w:pPr>
      <w:r w:rsidRPr="00AE5A91">
        <w:rPr>
          <w:sz w:val="20"/>
          <w:szCs w:val="20"/>
        </w:rPr>
        <w:t xml:space="preserve"> </w:t>
      </w:r>
    </w:p>
    <w:p w14:paraId="541F2B0B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AE5A91">
        <w:rPr>
          <w:b/>
          <w:bCs/>
          <w:sz w:val="20"/>
          <w:szCs w:val="20"/>
          <w:lang w:eastAsia="ru-RU"/>
        </w:rPr>
        <w:t>Қорытынды бағаны есептеу формуласы:</w:t>
      </w:r>
      <w:r w:rsidRPr="00AE5A91">
        <w:rPr>
          <w:sz w:val="20"/>
          <w:szCs w:val="20"/>
          <w:lang w:eastAsia="ru-RU"/>
        </w:rPr>
        <w:t> </w:t>
      </w:r>
    </w:p>
    <w:p w14:paraId="4AC31CF6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AE5A91">
        <w:rPr>
          <w:sz w:val="20"/>
          <w:szCs w:val="20"/>
          <w:lang w:val="kk-KZ" w:eastAsia="ru-RU"/>
        </w:rPr>
        <w:t>Қорытынды баға</w:t>
      </w:r>
      <w:r w:rsidRPr="00AE5A91">
        <w:rPr>
          <w:sz w:val="20"/>
          <w:szCs w:val="20"/>
          <w:lang w:eastAsia="ru-RU"/>
        </w:rPr>
        <w:t xml:space="preserve"> </w:t>
      </w:r>
      <w:r w:rsidRPr="00AE5A91">
        <w:rPr>
          <w:b/>
          <w:bCs/>
          <w:sz w:val="20"/>
          <w:szCs w:val="20"/>
          <w:lang w:eastAsia="ru-RU"/>
        </w:rPr>
        <w:t>(</w:t>
      </w:r>
      <w:r w:rsidRPr="00AE5A91">
        <w:rPr>
          <w:b/>
          <w:bCs/>
          <w:sz w:val="20"/>
          <w:szCs w:val="20"/>
          <w:lang w:val="kk-KZ" w:eastAsia="ru-RU"/>
        </w:rPr>
        <w:t>ҚБ</w:t>
      </w:r>
      <w:r w:rsidRPr="00AE5A91">
        <w:rPr>
          <w:sz w:val="20"/>
          <w:szCs w:val="20"/>
          <w:lang w:eastAsia="ru-RU"/>
        </w:rPr>
        <w:t xml:space="preserve">) </w:t>
      </w:r>
      <w:r w:rsidRPr="00AE5A91">
        <w:rPr>
          <w:b/>
          <w:bCs/>
          <w:sz w:val="20"/>
          <w:szCs w:val="20"/>
          <w:lang w:eastAsia="ru-RU"/>
        </w:rPr>
        <w:t>= (%1+%2+%3+%4+%5+%6 т.б.) / К</w:t>
      </w:r>
      <w:r w:rsidRPr="00AE5A91">
        <w:rPr>
          <w:sz w:val="20"/>
          <w:szCs w:val="20"/>
          <w:lang w:eastAsia="ru-RU"/>
        </w:rPr>
        <w:t xml:space="preserve">, </w:t>
      </w:r>
      <w:r w:rsidRPr="00AE5A91">
        <w:rPr>
          <w:sz w:val="20"/>
          <w:szCs w:val="20"/>
          <w:lang w:val="kk-KZ" w:eastAsia="ru-RU"/>
        </w:rPr>
        <w:t>мұнда</w:t>
      </w:r>
      <w:r w:rsidRPr="00AE5A91">
        <w:rPr>
          <w:sz w:val="20"/>
          <w:szCs w:val="20"/>
          <w:lang w:eastAsia="ru-RU"/>
        </w:rPr>
        <w:t xml:space="preserve"> </w:t>
      </w:r>
      <w:r w:rsidRPr="00AE5A91">
        <w:rPr>
          <w:b/>
          <w:bCs/>
          <w:sz w:val="20"/>
          <w:szCs w:val="20"/>
          <w:lang w:eastAsia="ru-RU"/>
        </w:rPr>
        <w:t>%</w:t>
      </w:r>
      <w:r w:rsidRPr="00AE5A91">
        <w:rPr>
          <w:sz w:val="20"/>
          <w:szCs w:val="20"/>
          <w:lang w:eastAsia="ru-RU"/>
        </w:rPr>
        <w:t xml:space="preserve"> – критерий бойынша тапсырманы орындау деңгейі, </w:t>
      </w:r>
      <w:r w:rsidRPr="00AE5A91">
        <w:rPr>
          <w:b/>
          <w:bCs/>
          <w:sz w:val="20"/>
          <w:szCs w:val="20"/>
          <w:lang w:eastAsia="ru-RU"/>
        </w:rPr>
        <w:t>К</w:t>
      </w:r>
      <w:r w:rsidRPr="00AE5A91">
        <w:rPr>
          <w:sz w:val="20"/>
          <w:szCs w:val="20"/>
          <w:lang w:eastAsia="ru-RU"/>
        </w:rPr>
        <w:t xml:space="preserve"> – критерий</w:t>
      </w:r>
      <w:r w:rsidRPr="00AE5A91">
        <w:rPr>
          <w:sz w:val="20"/>
          <w:szCs w:val="20"/>
          <w:lang w:val="kk-KZ" w:eastAsia="ru-RU"/>
        </w:rPr>
        <w:t>лердің жалпы саны</w:t>
      </w:r>
      <w:r w:rsidRPr="00AE5A91">
        <w:rPr>
          <w:sz w:val="20"/>
          <w:szCs w:val="20"/>
          <w:lang w:eastAsia="ru-RU"/>
        </w:rPr>
        <w:t>.</w:t>
      </w:r>
    </w:p>
    <w:p w14:paraId="3A3AECA6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</w:p>
    <w:p w14:paraId="019569A3" w14:textId="77777777" w:rsidR="00F14E0E" w:rsidRPr="005B66E8" w:rsidRDefault="00F14E0E" w:rsidP="00F14E0E">
      <w:pPr>
        <w:rPr>
          <w:sz w:val="20"/>
          <w:szCs w:val="20"/>
        </w:rPr>
      </w:pPr>
    </w:p>
    <w:p w14:paraId="0BCDF380" w14:textId="77777777" w:rsidR="00F14E0E" w:rsidRPr="005B66E8" w:rsidRDefault="00F14E0E" w:rsidP="00F14E0E">
      <w:pPr>
        <w:jc w:val="both"/>
        <w:rPr>
          <w:b/>
          <w:bCs/>
          <w:color w:val="202124"/>
          <w:sz w:val="20"/>
          <w:szCs w:val="20"/>
          <w:lang w:val="kk"/>
        </w:rPr>
      </w:pPr>
      <w:r w:rsidRPr="005B66E8">
        <w:rPr>
          <w:b/>
          <w:bCs/>
          <w:color w:val="202124"/>
          <w:sz w:val="20"/>
          <w:szCs w:val="20"/>
          <w:lang w:val="kk"/>
        </w:rPr>
        <w:t>Қорытынды баллды есептеу мысалы</w:t>
      </w:r>
    </w:p>
    <w:p w14:paraId="77032527" w14:textId="77777777" w:rsidR="00F14E0E" w:rsidRPr="005B66E8" w:rsidRDefault="00F14E0E" w:rsidP="00F14E0E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1"/>
        <w:gridCol w:w="1772"/>
        <w:gridCol w:w="2452"/>
        <w:gridCol w:w="2725"/>
        <w:gridCol w:w="2452"/>
        <w:gridCol w:w="2689"/>
      </w:tblGrid>
      <w:tr w:rsidR="00F14E0E" w:rsidRPr="005B66E8" w14:paraId="750B46EE" w14:textId="77777777" w:rsidTr="00125925">
        <w:trPr>
          <w:trHeight w:val="415"/>
          <w:jc w:val="center"/>
        </w:trPr>
        <w:tc>
          <w:tcPr>
            <w:tcW w:w="2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53716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F32D1" w14:textId="77777777" w:rsidR="00F14E0E" w:rsidRPr="005B66E8" w:rsidRDefault="00F14E0E" w:rsidP="00125925">
            <w:pPr>
              <w:jc w:val="right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274817" wp14:editId="670594A3">
                      <wp:simplePos x="0" y="0"/>
                      <wp:positionH relativeFrom="column">
                        <wp:posOffset>-12645</wp:posOffset>
                      </wp:positionH>
                      <wp:positionV relativeFrom="paragraph">
                        <wp:posOffset>10326</wp:posOffset>
                      </wp:positionV>
                      <wp:extent cx="1242392" cy="636104"/>
                      <wp:effectExtent l="0" t="0" r="34290" b="31115"/>
                      <wp:wrapNone/>
                      <wp:docPr id="12339570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392" cy="6361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45BB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" strokecolor="black [3213]"/>
                  </w:pict>
                </mc:Fallback>
              </mc:AlternateConten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771D3E02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37E0DADF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4839788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>лер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09805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4E9A1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A63C252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28ECC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CD4C4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F14E0E" w:rsidRPr="005B66E8" w14:paraId="65421F33" w14:textId="77777777" w:rsidTr="00125925">
        <w:trPr>
          <w:trHeight w:val="405"/>
          <w:jc w:val="center"/>
        </w:trPr>
        <w:tc>
          <w:tcPr>
            <w:tcW w:w="2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D1DFC" w14:textId="77777777" w:rsidR="00F14E0E" w:rsidRPr="005B66E8" w:rsidRDefault="00F14E0E" w:rsidP="0012592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41A66" w14:textId="77777777" w:rsidR="00F14E0E" w:rsidRPr="005B66E8" w:rsidRDefault="00F14E0E" w:rsidP="0012592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58A55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90-100%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8991A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70-89%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63318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2DF7D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461A0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F14E0E" w:rsidRPr="005B66E8" w14:paraId="4F47644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3CCD5" w14:textId="77777777" w:rsidR="00F14E0E" w:rsidRPr="005B66E8" w:rsidRDefault="00F14E0E" w:rsidP="00F14E0E">
            <w:pPr>
              <w:numPr>
                <w:ilvl w:val="0"/>
                <w:numId w:val="17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5D10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 xml:space="preserve">1 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10EF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7619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875B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8B15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92C5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479C25EC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F64CC" w14:textId="77777777" w:rsidR="00F14E0E" w:rsidRPr="005B66E8" w:rsidRDefault="00F14E0E" w:rsidP="00F14E0E">
            <w:pPr>
              <w:numPr>
                <w:ilvl w:val="0"/>
                <w:numId w:val="18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A878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2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E205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B3D8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75 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326D1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4CA72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678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6274118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7B430" w14:textId="77777777" w:rsidR="00F14E0E" w:rsidRPr="005B66E8" w:rsidRDefault="00F14E0E" w:rsidP="00F14E0E">
            <w:pPr>
              <w:numPr>
                <w:ilvl w:val="0"/>
                <w:numId w:val="19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86D0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3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B8C5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3EDE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A79E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60 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37B9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9468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48B32CE5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F38A" w14:textId="77777777" w:rsidR="00F14E0E" w:rsidRPr="005B66E8" w:rsidRDefault="00F14E0E" w:rsidP="00F14E0E">
            <w:pPr>
              <w:numPr>
                <w:ilvl w:val="0"/>
                <w:numId w:val="20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8BA25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4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9DC1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CE5C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7B619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1A1D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45 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B91B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176CA2E9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E253C" w14:textId="77777777" w:rsidR="00F14E0E" w:rsidRPr="005B66E8" w:rsidRDefault="00F14E0E" w:rsidP="00F14E0E">
            <w:pPr>
              <w:numPr>
                <w:ilvl w:val="0"/>
                <w:numId w:val="21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732AF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5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02CC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2B9E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2336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9B1A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1545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1DEC7B6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2854F" w14:textId="77777777" w:rsidR="00F14E0E" w:rsidRPr="005B66E8" w:rsidRDefault="00F14E0E" w:rsidP="00F14E0E">
            <w:pPr>
              <w:numPr>
                <w:ilvl w:val="0"/>
                <w:numId w:val="22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0F82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6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8CF9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5EFE5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0E9F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BED3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49 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90E7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3D9A9AD3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77457" w14:textId="77777777" w:rsidR="00F14E0E" w:rsidRPr="005B66E8" w:rsidRDefault="00F14E0E" w:rsidP="00125925">
            <w:pPr>
              <w:ind w:left="-436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6F77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2DA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200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074AC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75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8B5A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60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D1AA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94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3B2C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 xml:space="preserve">200+ 75 + 60 + 94 =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429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12DDAAA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5CE7700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429 / 6 критери</w:t>
            </w: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>йлер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 xml:space="preserve"> = 71,5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35C277D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007C5A2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балл в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% = 72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14:paraId="6F326DA3" w14:textId="77777777" w:rsidR="00F14E0E" w:rsidRPr="005B66E8" w:rsidRDefault="00F14E0E" w:rsidP="00F14E0E">
      <w:pPr>
        <w:textAlignment w:val="baseline"/>
        <w:rPr>
          <w:rFonts w:ascii="Segoe UI" w:hAnsi="Segoe UI" w:cs="Segoe UI"/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> </w:t>
      </w:r>
    </w:p>
    <w:p w14:paraId="7CA4FB79" w14:textId="77777777" w:rsidR="00F14E0E" w:rsidRPr="005B66E8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 xml:space="preserve">Есептеу кезінде алынған </w:t>
      </w:r>
      <w:r w:rsidRPr="005B66E8">
        <w:rPr>
          <w:sz w:val="20"/>
          <w:szCs w:val="20"/>
          <w:lang w:val="kk-KZ" w:eastAsia="ru-RU"/>
        </w:rPr>
        <w:t>пайызға</w:t>
      </w:r>
      <w:r w:rsidRPr="005B66E8">
        <w:rPr>
          <w:sz w:val="20"/>
          <w:szCs w:val="20"/>
          <w:lang w:eastAsia="ru-RU"/>
        </w:rPr>
        <w:t xml:space="preserve"> сүйене отырып, біз баға</w:t>
      </w:r>
      <w:r w:rsidRPr="005B66E8">
        <w:rPr>
          <w:sz w:val="20"/>
          <w:szCs w:val="20"/>
          <w:lang w:val="kk-KZ" w:eastAsia="ru-RU"/>
        </w:rPr>
        <w:t>ны</w:t>
      </w:r>
      <w:r w:rsidRPr="005B66E8">
        <w:rPr>
          <w:sz w:val="20"/>
          <w:szCs w:val="20"/>
          <w:lang w:eastAsia="ru-RU"/>
        </w:rPr>
        <w:t xml:space="preserve"> бағалау шкаласымен салыстыра аламыз. </w:t>
      </w:r>
    </w:p>
    <w:p w14:paraId="60505B7F" w14:textId="77777777" w:rsidR="00F14E0E" w:rsidRPr="005B66E8" w:rsidRDefault="00F14E0E" w:rsidP="00F14E0E">
      <w:pPr>
        <w:jc w:val="both"/>
        <w:textAlignment w:val="baseline"/>
        <w:rPr>
          <w:rFonts w:ascii="Segoe UI" w:hAnsi="Segoe UI" w:cs="Segoe UI"/>
          <w:sz w:val="20"/>
          <w:szCs w:val="20"/>
          <w:lang w:eastAsia="ru-RU"/>
        </w:rPr>
      </w:pPr>
    </w:p>
    <w:p w14:paraId="05D311CC" w14:textId="77777777" w:rsidR="00F14E0E" w:rsidRPr="005B66E8" w:rsidRDefault="00F14E0E" w:rsidP="00F14E0E">
      <w:pPr>
        <w:jc w:val="both"/>
        <w:textAlignment w:val="baseline"/>
        <w:rPr>
          <w:b/>
          <w:bCs/>
          <w:sz w:val="20"/>
          <w:szCs w:val="20"/>
          <w:lang w:eastAsia="ru-RU"/>
        </w:rPr>
      </w:pPr>
      <w:r w:rsidRPr="005B66E8">
        <w:rPr>
          <w:b/>
          <w:bCs/>
          <w:sz w:val="20"/>
          <w:szCs w:val="20"/>
          <w:lang w:eastAsia="ru-RU"/>
        </w:rPr>
        <w:t xml:space="preserve">72 </w:t>
      </w:r>
      <w:r w:rsidRPr="005B66E8">
        <w:rPr>
          <w:b/>
          <w:bCs/>
          <w:sz w:val="20"/>
          <w:szCs w:val="20"/>
          <w:lang w:val="kk-KZ" w:eastAsia="ru-RU"/>
        </w:rPr>
        <w:t xml:space="preserve">балл </w:t>
      </w:r>
      <w:r w:rsidRPr="005B66E8">
        <w:rPr>
          <w:sz w:val="20"/>
          <w:szCs w:val="20"/>
          <w:lang w:eastAsia="ru-RU"/>
        </w:rPr>
        <w:t xml:space="preserve">70 балдан 89 балға дейін, бұл бағалау шкаласына сәйкес </w:t>
      </w:r>
      <w:r w:rsidRPr="005B66E8">
        <w:rPr>
          <w:sz w:val="20"/>
          <w:szCs w:val="20"/>
          <w:lang w:val="kk-KZ" w:eastAsia="ru-RU"/>
        </w:rPr>
        <w:t>«</w:t>
      </w:r>
      <w:r w:rsidRPr="005B66E8">
        <w:rPr>
          <w:b/>
          <w:bCs/>
          <w:sz w:val="20"/>
          <w:szCs w:val="20"/>
          <w:lang w:eastAsia="ru-RU"/>
        </w:rPr>
        <w:t>Жақсы</w:t>
      </w:r>
      <w:r w:rsidRPr="005B66E8">
        <w:rPr>
          <w:b/>
          <w:bCs/>
          <w:sz w:val="20"/>
          <w:szCs w:val="20"/>
          <w:lang w:val="kk-KZ" w:eastAsia="ru-RU"/>
        </w:rPr>
        <w:t>»</w:t>
      </w:r>
      <w:r w:rsidRPr="005B66E8">
        <w:rPr>
          <w:sz w:val="20"/>
          <w:szCs w:val="20"/>
          <w:lang w:eastAsia="ru-RU"/>
        </w:rPr>
        <w:t xml:space="preserve"> санатына сәйкес келеді.</w:t>
      </w:r>
    </w:p>
    <w:p w14:paraId="0D5E7FDA" w14:textId="77777777" w:rsidR="00F14E0E" w:rsidRPr="005B66E8" w:rsidRDefault="00F14E0E" w:rsidP="00F14E0E">
      <w:pPr>
        <w:textAlignment w:val="baseline"/>
        <w:rPr>
          <w:b/>
          <w:bCs/>
          <w:sz w:val="20"/>
          <w:szCs w:val="20"/>
          <w:lang w:eastAsia="ru-RU"/>
        </w:rPr>
      </w:pPr>
    </w:p>
    <w:p w14:paraId="7D5B7F45" w14:textId="77777777" w:rsidR="00F14E0E" w:rsidRPr="005B66E8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>Осылайша, осы есептеуде жоба дәстүрлі бағалау шкаласы мен ECTS-</w:t>
      </w:r>
      <w:r w:rsidRPr="005B66E8">
        <w:rPr>
          <w:sz w:val="20"/>
          <w:szCs w:val="20"/>
          <w:lang w:val="kk-KZ" w:eastAsia="ru-RU"/>
        </w:rPr>
        <w:t>г</w:t>
      </w:r>
      <w:r w:rsidRPr="005B66E8">
        <w:rPr>
          <w:sz w:val="20"/>
          <w:szCs w:val="20"/>
          <w:lang w:eastAsia="ru-RU"/>
        </w:rPr>
        <w:t xml:space="preserve">е ауыстыра отырып, білім алушылардың оқу жетістіктерін есепке алуды бағалаудың балдық-рейтингтік әріптік жүйесіне сәйкес </w:t>
      </w:r>
      <w:r w:rsidRPr="005B66E8">
        <w:rPr>
          <w:sz w:val="20"/>
          <w:szCs w:val="20"/>
          <w:lang w:val="kk-KZ" w:eastAsia="ru-RU"/>
        </w:rPr>
        <w:t>«</w:t>
      </w:r>
      <w:r w:rsidRPr="005B66E8">
        <w:rPr>
          <w:b/>
          <w:bCs/>
          <w:sz w:val="20"/>
          <w:szCs w:val="20"/>
          <w:lang w:eastAsia="ru-RU"/>
        </w:rPr>
        <w:t>Жақсы</w:t>
      </w:r>
      <w:r w:rsidRPr="005B66E8">
        <w:rPr>
          <w:b/>
          <w:bCs/>
          <w:sz w:val="20"/>
          <w:szCs w:val="20"/>
          <w:lang w:val="kk-KZ" w:eastAsia="ru-RU"/>
        </w:rPr>
        <w:t>»</w:t>
      </w:r>
      <w:r w:rsidRPr="005B66E8">
        <w:rPr>
          <w:sz w:val="20"/>
          <w:szCs w:val="20"/>
          <w:lang w:val="kk-KZ" w:eastAsia="ru-RU"/>
        </w:rPr>
        <w:t xml:space="preserve">, </w:t>
      </w:r>
      <w:r w:rsidRPr="005B66E8">
        <w:rPr>
          <w:b/>
          <w:bCs/>
          <w:sz w:val="20"/>
          <w:szCs w:val="20"/>
          <w:lang w:eastAsia="ru-RU"/>
        </w:rPr>
        <w:t>72 балға</w:t>
      </w:r>
      <w:r w:rsidRPr="005B66E8">
        <w:rPr>
          <w:sz w:val="20"/>
          <w:szCs w:val="20"/>
          <w:lang w:eastAsia="ru-RU"/>
        </w:rPr>
        <w:t xml:space="preserve"> бағаланатын болады.  </w:t>
      </w:r>
    </w:p>
    <w:p w14:paraId="3A2E794C" w14:textId="77777777" w:rsidR="00F14E0E" w:rsidRPr="005B66E8" w:rsidRDefault="00F14E0E" w:rsidP="00F14E0E">
      <w:pPr>
        <w:textAlignment w:val="baseline"/>
        <w:rPr>
          <w:sz w:val="20"/>
          <w:szCs w:val="20"/>
          <w:lang w:eastAsia="ru-RU"/>
        </w:rPr>
      </w:pPr>
    </w:p>
    <w:p w14:paraId="2DE5FE61" w14:textId="77777777" w:rsidR="00F14E0E" w:rsidRDefault="00F14E0E">
      <w:pPr>
        <w:jc w:val="both"/>
        <w:rPr>
          <w:sz w:val="20"/>
          <w:szCs w:val="20"/>
        </w:rPr>
      </w:pPr>
    </w:p>
    <w:p w14:paraId="3730BBCD" w14:textId="63A173D3" w:rsidR="009033F7" w:rsidRDefault="009033F7">
      <w:pPr>
        <w:jc w:val="both"/>
        <w:rPr>
          <w:sz w:val="20"/>
          <w:szCs w:val="20"/>
        </w:rPr>
      </w:pPr>
    </w:p>
    <w:p w14:paraId="7432A730" w14:textId="5644C988" w:rsidR="009033F7" w:rsidRDefault="009033F7">
      <w:pPr>
        <w:jc w:val="both"/>
        <w:rPr>
          <w:sz w:val="20"/>
          <w:szCs w:val="20"/>
        </w:rPr>
      </w:pPr>
    </w:p>
    <w:p w14:paraId="27F4523B" w14:textId="77777777" w:rsidR="009033F7" w:rsidRPr="003F2DC5" w:rsidRDefault="009033F7" w:rsidP="00490EBE">
      <w:pPr>
        <w:jc w:val="center"/>
        <w:rPr>
          <w:sz w:val="20"/>
          <w:szCs w:val="20"/>
        </w:rPr>
      </w:pPr>
    </w:p>
    <w:p w14:paraId="12B10942" w14:textId="3D4F85C3" w:rsidR="00DB4D9C" w:rsidRDefault="001640C9" w:rsidP="00490EBE">
      <w:pPr>
        <w:spacing w:after="12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2F5204">
        <w:rPr>
          <w:b/>
          <w:sz w:val="20"/>
          <w:szCs w:val="20"/>
        </w:rPr>
        <w:t xml:space="preserve"> Мейрбаев Б.Б.</w:t>
      </w:r>
    </w:p>
    <w:p w14:paraId="5604C61E" w14:textId="3F981A64" w:rsidR="00594DE6" w:rsidRPr="003F2DC5" w:rsidRDefault="00594DE6" w:rsidP="00490EBE">
      <w:pPr>
        <w:spacing w:after="120"/>
        <w:jc w:val="center"/>
        <w:rPr>
          <w:b/>
          <w:sz w:val="20"/>
          <w:szCs w:val="20"/>
        </w:rPr>
      </w:pPr>
    </w:p>
    <w:p w14:paraId="5604C620" w14:textId="6E466369" w:rsidR="00594DE6" w:rsidRDefault="006D1812" w:rsidP="00490EB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617050">
        <w:rPr>
          <w:b/>
          <w:sz w:val="20"/>
          <w:szCs w:val="20"/>
        </w:rPr>
        <w:t>_</w:t>
      </w:r>
      <w:r w:rsidR="00617050">
        <w:rPr>
          <w:b/>
          <w:sz w:val="20"/>
          <w:szCs w:val="20"/>
        </w:rPr>
        <w:softHyphen/>
        <w:t>______</w:t>
      </w:r>
      <w:r w:rsidR="002F5204">
        <w:rPr>
          <w:b/>
          <w:sz w:val="20"/>
          <w:szCs w:val="20"/>
        </w:rPr>
        <w:t xml:space="preserve"> Абдирайымова Г.С.</w:t>
      </w:r>
    </w:p>
    <w:p w14:paraId="63F7C498" w14:textId="77777777" w:rsidR="00DB4D9C" w:rsidRPr="003F2DC5" w:rsidRDefault="00DB4D9C" w:rsidP="00490EBE">
      <w:pPr>
        <w:spacing w:after="120"/>
        <w:jc w:val="center"/>
        <w:rPr>
          <w:b/>
          <w:sz w:val="20"/>
          <w:szCs w:val="20"/>
        </w:rPr>
      </w:pPr>
    </w:p>
    <w:p w14:paraId="288DED2E" w14:textId="682BADE4" w:rsidR="004947F8" w:rsidRDefault="006D1812" w:rsidP="00490EB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9F309F">
        <w:rPr>
          <w:b/>
          <w:sz w:val="20"/>
          <w:szCs w:val="20"/>
        </w:rPr>
        <w:t xml:space="preserve">  М</w:t>
      </w:r>
      <w:r w:rsidR="00617050">
        <w:rPr>
          <w:b/>
          <w:sz w:val="20"/>
          <w:szCs w:val="20"/>
        </w:rPr>
        <w:t>амытканов</w:t>
      </w:r>
      <w:r w:rsidR="009F309F">
        <w:rPr>
          <w:b/>
          <w:sz w:val="20"/>
          <w:szCs w:val="20"/>
        </w:rPr>
        <w:t xml:space="preserve"> </w:t>
      </w:r>
      <w:r w:rsidR="00617050">
        <w:rPr>
          <w:b/>
          <w:sz w:val="20"/>
          <w:szCs w:val="20"/>
        </w:rPr>
        <w:t>Д.К.</w:t>
      </w:r>
    </w:p>
    <w:p w14:paraId="5AFD163E" w14:textId="3A4B3A1E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3015275" w14:textId="14C5503D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0A3DFD7" w14:textId="59CF3756" w:rsidR="00490EBE" w:rsidRDefault="00490EBE" w:rsidP="00700A25">
      <w:pPr>
        <w:spacing w:after="120"/>
        <w:rPr>
          <w:b/>
          <w:sz w:val="20"/>
          <w:szCs w:val="20"/>
        </w:rPr>
      </w:pPr>
    </w:p>
    <w:p w14:paraId="7D8ABE5F" w14:textId="4EB64470" w:rsidR="00490EBE" w:rsidRDefault="00490EBE" w:rsidP="00700A25">
      <w:pPr>
        <w:spacing w:after="120"/>
        <w:rPr>
          <w:b/>
          <w:sz w:val="20"/>
          <w:szCs w:val="20"/>
        </w:rPr>
      </w:pPr>
    </w:p>
    <w:p w14:paraId="416C5554" w14:textId="74124CC8" w:rsidR="00490EBE" w:rsidRDefault="00490EBE" w:rsidP="00700A25">
      <w:pPr>
        <w:spacing w:after="120"/>
        <w:rPr>
          <w:b/>
          <w:sz w:val="20"/>
          <w:szCs w:val="20"/>
        </w:rPr>
      </w:pPr>
    </w:p>
    <w:p w14:paraId="7D18899E" w14:textId="31646112" w:rsidR="00490EBE" w:rsidRDefault="00490EBE" w:rsidP="00700A25">
      <w:pPr>
        <w:spacing w:after="120"/>
        <w:rPr>
          <w:b/>
          <w:sz w:val="20"/>
          <w:szCs w:val="20"/>
        </w:rPr>
      </w:pPr>
    </w:p>
    <w:p w14:paraId="2576DF2B" w14:textId="16E4691A" w:rsidR="000A6617" w:rsidRPr="00700A25" w:rsidRDefault="000A6617" w:rsidP="00700A25">
      <w:pPr>
        <w:tabs>
          <w:tab w:val="left" w:pos="5023"/>
        </w:tabs>
        <w:rPr>
          <w:lang w:val="kk-KZ" w:eastAsia="ru-RU"/>
        </w:rPr>
      </w:pPr>
    </w:p>
    <w:sectPr w:rsidR="000A6617" w:rsidRPr="00700A2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98191" w14:textId="77777777" w:rsidR="00585B59" w:rsidRDefault="00585B59" w:rsidP="004C6A23">
      <w:r>
        <w:separator/>
      </w:r>
    </w:p>
  </w:endnote>
  <w:endnote w:type="continuationSeparator" w:id="0">
    <w:p w14:paraId="082020FF" w14:textId="77777777" w:rsidR="00585B59" w:rsidRDefault="00585B59" w:rsidP="004C6A23">
      <w:r>
        <w:continuationSeparator/>
      </w:r>
    </w:p>
  </w:endnote>
  <w:endnote w:type="continuationNotice" w:id="1">
    <w:p w14:paraId="0295BE30" w14:textId="77777777" w:rsidR="00585B59" w:rsidRDefault="00585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12F69" w14:textId="77777777" w:rsidR="00585B59" w:rsidRDefault="00585B59" w:rsidP="004C6A23">
      <w:r>
        <w:separator/>
      </w:r>
    </w:p>
  </w:footnote>
  <w:footnote w:type="continuationSeparator" w:id="0">
    <w:p w14:paraId="0B1CD42B" w14:textId="77777777" w:rsidR="00585B59" w:rsidRDefault="00585B59" w:rsidP="004C6A23">
      <w:r>
        <w:continuationSeparator/>
      </w:r>
    </w:p>
  </w:footnote>
  <w:footnote w:type="continuationNotice" w:id="1">
    <w:p w14:paraId="795B56B6" w14:textId="77777777" w:rsidR="00585B59" w:rsidRDefault="00585B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73CF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D10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4458"/>
    <w:multiLevelType w:val="multilevel"/>
    <w:tmpl w:val="70E8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B4EF7"/>
    <w:multiLevelType w:val="multilevel"/>
    <w:tmpl w:val="5122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12725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22F73"/>
    <w:multiLevelType w:val="hybridMultilevel"/>
    <w:tmpl w:val="70ACD128"/>
    <w:lvl w:ilvl="0" w:tplc="C6564D2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279E6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73F1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6"/>
  </w:num>
  <w:num w:numId="10">
    <w:abstractNumId w:val="19"/>
  </w:num>
  <w:num w:numId="11">
    <w:abstractNumId w:val="15"/>
  </w:num>
  <w:num w:numId="12">
    <w:abstractNumId w:val="10"/>
  </w:num>
  <w:num w:numId="13">
    <w:abstractNumId w:val="23"/>
  </w:num>
  <w:num w:numId="14">
    <w:abstractNumId w:val="18"/>
  </w:num>
  <w:num w:numId="15">
    <w:abstractNumId w:val="14"/>
  </w:num>
  <w:num w:numId="16">
    <w:abstractNumId w:val="5"/>
  </w:num>
  <w:num w:numId="17">
    <w:abstractNumId w:val="3"/>
  </w:num>
  <w:num w:numId="18">
    <w:abstractNumId w:val="12"/>
  </w:num>
  <w:num w:numId="19">
    <w:abstractNumId w:val="17"/>
  </w:num>
  <w:num w:numId="20">
    <w:abstractNumId w:val="21"/>
  </w:num>
  <w:num w:numId="21">
    <w:abstractNumId w:val="20"/>
  </w:num>
  <w:num w:numId="22">
    <w:abstractNumId w:val="7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AA3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66"/>
    <w:rsid w:val="000E7B93"/>
    <w:rsid w:val="000F2D2E"/>
    <w:rsid w:val="000F5866"/>
    <w:rsid w:val="00101918"/>
    <w:rsid w:val="0010667E"/>
    <w:rsid w:val="00113406"/>
    <w:rsid w:val="0011389C"/>
    <w:rsid w:val="001141CC"/>
    <w:rsid w:val="001173CE"/>
    <w:rsid w:val="00117820"/>
    <w:rsid w:val="00122EF2"/>
    <w:rsid w:val="0012592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F1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766"/>
    <w:rsid w:val="00203226"/>
    <w:rsid w:val="00206C25"/>
    <w:rsid w:val="00206E46"/>
    <w:rsid w:val="00207EC4"/>
    <w:rsid w:val="00216100"/>
    <w:rsid w:val="00222278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2D8A"/>
    <w:rsid w:val="00293057"/>
    <w:rsid w:val="00293058"/>
    <w:rsid w:val="002A021D"/>
    <w:rsid w:val="002A103A"/>
    <w:rsid w:val="002A2BF7"/>
    <w:rsid w:val="002A5787"/>
    <w:rsid w:val="002A5F34"/>
    <w:rsid w:val="002A6C44"/>
    <w:rsid w:val="002A6DD3"/>
    <w:rsid w:val="002A740A"/>
    <w:rsid w:val="002B4684"/>
    <w:rsid w:val="002B47A8"/>
    <w:rsid w:val="002B5B04"/>
    <w:rsid w:val="002B69DB"/>
    <w:rsid w:val="002C05CD"/>
    <w:rsid w:val="002C0F20"/>
    <w:rsid w:val="002C1D33"/>
    <w:rsid w:val="002C6116"/>
    <w:rsid w:val="002C79B4"/>
    <w:rsid w:val="002D47ED"/>
    <w:rsid w:val="002D66F2"/>
    <w:rsid w:val="002E28AC"/>
    <w:rsid w:val="002E6297"/>
    <w:rsid w:val="002E7729"/>
    <w:rsid w:val="002F002D"/>
    <w:rsid w:val="002F1A09"/>
    <w:rsid w:val="002F2C36"/>
    <w:rsid w:val="002F4892"/>
    <w:rsid w:val="002F5204"/>
    <w:rsid w:val="002F719E"/>
    <w:rsid w:val="002F7F65"/>
    <w:rsid w:val="0030037A"/>
    <w:rsid w:val="0030728E"/>
    <w:rsid w:val="0031108F"/>
    <w:rsid w:val="00311121"/>
    <w:rsid w:val="003126D5"/>
    <w:rsid w:val="003179A4"/>
    <w:rsid w:val="00323280"/>
    <w:rsid w:val="00323908"/>
    <w:rsid w:val="00325DC8"/>
    <w:rsid w:val="00330851"/>
    <w:rsid w:val="00332CCC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5F82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47E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26B"/>
    <w:rsid w:val="004807B2"/>
    <w:rsid w:val="0048313F"/>
    <w:rsid w:val="00486107"/>
    <w:rsid w:val="004862D8"/>
    <w:rsid w:val="00487209"/>
    <w:rsid w:val="004873CC"/>
    <w:rsid w:val="00490EBE"/>
    <w:rsid w:val="004947F8"/>
    <w:rsid w:val="00495679"/>
    <w:rsid w:val="004958F8"/>
    <w:rsid w:val="0049675E"/>
    <w:rsid w:val="00497477"/>
    <w:rsid w:val="004A2DD3"/>
    <w:rsid w:val="004A3E54"/>
    <w:rsid w:val="004A52AB"/>
    <w:rsid w:val="004B0BAA"/>
    <w:rsid w:val="004B2BA6"/>
    <w:rsid w:val="004B336E"/>
    <w:rsid w:val="004B4F12"/>
    <w:rsid w:val="004B5D2B"/>
    <w:rsid w:val="004C2067"/>
    <w:rsid w:val="004C6373"/>
    <w:rsid w:val="004C6A23"/>
    <w:rsid w:val="004D1D6C"/>
    <w:rsid w:val="004D4F2C"/>
    <w:rsid w:val="004E11CF"/>
    <w:rsid w:val="004E23C7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5B59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44F4"/>
    <w:rsid w:val="005A755D"/>
    <w:rsid w:val="005B2808"/>
    <w:rsid w:val="005B48EF"/>
    <w:rsid w:val="005B66E8"/>
    <w:rsid w:val="005B69F9"/>
    <w:rsid w:val="005C0EF6"/>
    <w:rsid w:val="005C2664"/>
    <w:rsid w:val="005C26DF"/>
    <w:rsid w:val="005C2FF2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7050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04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5926"/>
    <w:rsid w:val="00700A25"/>
    <w:rsid w:val="00703145"/>
    <w:rsid w:val="00704299"/>
    <w:rsid w:val="00705778"/>
    <w:rsid w:val="00705E19"/>
    <w:rsid w:val="00706F2D"/>
    <w:rsid w:val="00707AF8"/>
    <w:rsid w:val="0071052D"/>
    <w:rsid w:val="00711442"/>
    <w:rsid w:val="0071201D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57E00"/>
    <w:rsid w:val="0076487E"/>
    <w:rsid w:val="00765CE9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B0F"/>
    <w:rsid w:val="007D3B4F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541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47C00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8732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33F7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1686"/>
    <w:rsid w:val="009A44E4"/>
    <w:rsid w:val="009A78B4"/>
    <w:rsid w:val="009B6838"/>
    <w:rsid w:val="009B7F2B"/>
    <w:rsid w:val="009C0E8D"/>
    <w:rsid w:val="009C1790"/>
    <w:rsid w:val="009C29E7"/>
    <w:rsid w:val="009D449C"/>
    <w:rsid w:val="009D4B9E"/>
    <w:rsid w:val="009E2A95"/>
    <w:rsid w:val="009E52CB"/>
    <w:rsid w:val="009E6ECA"/>
    <w:rsid w:val="009E72A8"/>
    <w:rsid w:val="009F169F"/>
    <w:rsid w:val="009F30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6E8B"/>
    <w:rsid w:val="00A471CF"/>
    <w:rsid w:val="00A478EE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2F30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157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0A3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0C8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86E8A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0EF2"/>
    <w:rsid w:val="00CE642C"/>
    <w:rsid w:val="00CF1C3A"/>
    <w:rsid w:val="00CF26E9"/>
    <w:rsid w:val="00CF275E"/>
    <w:rsid w:val="00D0408D"/>
    <w:rsid w:val="00D045E1"/>
    <w:rsid w:val="00D05162"/>
    <w:rsid w:val="00D07190"/>
    <w:rsid w:val="00D15475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4F76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27618"/>
    <w:rsid w:val="00E32800"/>
    <w:rsid w:val="00E4280D"/>
    <w:rsid w:val="00E4282B"/>
    <w:rsid w:val="00E526F4"/>
    <w:rsid w:val="00E53686"/>
    <w:rsid w:val="00E5557B"/>
    <w:rsid w:val="00E55C26"/>
    <w:rsid w:val="00E56DA6"/>
    <w:rsid w:val="00E56F4F"/>
    <w:rsid w:val="00E607F2"/>
    <w:rsid w:val="00E62139"/>
    <w:rsid w:val="00E65D52"/>
    <w:rsid w:val="00E70249"/>
    <w:rsid w:val="00E70542"/>
    <w:rsid w:val="00E74536"/>
    <w:rsid w:val="00E80F63"/>
    <w:rsid w:val="00E8154F"/>
    <w:rsid w:val="00E81CB3"/>
    <w:rsid w:val="00E83D4B"/>
    <w:rsid w:val="00E84EED"/>
    <w:rsid w:val="00E91403"/>
    <w:rsid w:val="00E92930"/>
    <w:rsid w:val="00E941DF"/>
    <w:rsid w:val="00E9489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4E0E"/>
    <w:rsid w:val="00F15560"/>
    <w:rsid w:val="00F20A5E"/>
    <w:rsid w:val="00F234BF"/>
    <w:rsid w:val="00F265DE"/>
    <w:rsid w:val="00F272EF"/>
    <w:rsid w:val="00F30DE3"/>
    <w:rsid w:val="00F33386"/>
    <w:rsid w:val="00F3540B"/>
    <w:rsid w:val="00F3672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E17"/>
    <w:rsid w:val="00F65683"/>
    <w:rsid w:val="00F65A34"/>
    <w:rsid w:val="00F662DA"/>
    <w:rsid w:val="00F67E30"/>
    <w:rsid w:val="00F71859"/>
    <w:rsid w:val="00F76949"/>
    <w:rsid w:val="00F77664"/>
    <w:rsid w:val="00F80021"/>
    <w:rsid w:val="00F80213"/>
    <w:rsid w:val="00F8266D"/>
    <w:rsid w:val="00F84019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5C2FF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7A8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  <w:style w:type="character" w:styleId="aff2">
    <w:name w:val="Strong"/>
    <w:basedOn w:val="a0"/>
    <w:uiPriority w:val="22"/>
    <w:qFormat/>
    <w:rsid w:val="007D2B0F"/>
    <w:rPr>
      <w:b/>
      <w:bCs/>
    </w:rPr>
  </w:style>
  <w:style w:type="character" w:styleId="aff3">
    <w:name w:val="Emphasis"/>
    <w:basedOn w:val="a0"/>
    <w:uiPriority w:val="20"/>
    <w:qFormat/>
    <w:rsid w:val="007D2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ustafina.Aigul@kaznu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cialworker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58312-3B35-402F-A1A3-54C33FC2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Дархан</cp:lastModifiedBy>
  <cp:revision>3</cp:revision>
  <cp:lastPrinted>2023-06-26T06:36:00Z</cp:lastPrinted>
  <dcterms:created xsi:type="dcterms:W3CDTF">2025-08-31T07:45:00Z</dcterms:created>
  <dcterms:modified xsi:type="dcterms:W3CDTF">2025-08-31T07:55:00Z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